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C70" w:rsidRDefault="00FF4C70" w:rsidP="00CD5213"/>
    <w:p w:rsidR="001A4F38" w:rsidRPr="00CD5213" w:rsidRDefault="001A4F38" w:rsidP="00CD5213">
      <w:pPr>
        <w:ind w:right="-46"/>
        <w:rPr>
          <w:rFonts w:cs="Arial"/>
          <w:szCs w:val="22"/>
        </w:rPr>
      </w:pPr>
      <w:r w:rsidRPr="00CD5213">
        <w:rPr>
          <w:rFonts w:cs="Arial"/>
          <w:szCs w:val="22"/>
        </w:rPr>
        <w:t>This guideline is the minimum standard expected from a registered veterinary practitioner exercising reasonable skill and care in the course of providing treatment to animals. This guideline should be read in conjunction with other relevant guidelines.</w:t>
      </w:r>
    </w:p>
    <w:p w:rsidR="001A4F38" w:rsidRPr="00CD5213" w:rsidRDefault="001A4F38" w:rsidP="00CD5213">
      <w:pPr>
        <w:spacing w:before="1" w:line="259" w:lineRule="auto"/>
        <w:ind w:right="215"/>
        <w:rPr>
          <w:rFonts w:eastAsiaTheme="minorHAnsi" w:cs="Arial"/>
          <w:szCs w:val="22"/>
          <w:lang w:eastAsia="en-US"/>
        </w:rPr>
      </w:pPr>
      <w:r w:rsidRPr="00CD5213">
        <w:rPr>
          <w:rFonts w:eastAsiaTheme="minorHAnsi" w:cs="Arial"/>
          <w:szCs w:val="22"/>
          <w:lang w:eastAsia="en-US"/>
        </w:rPr>
        <w:t>Registered veterinary practitioners should ensure that they are familiar with the contents of this Guideline. The Board determines this Guideline to be the minimum standard expected from a registered veterinary practitioner exercising reasonable skill and care in the course of providing treatment to animals.</w:t>
      </w:r>
    </w:p>
    <w:p w:rsidR="001A4F38" w:rsidRPr="00CD5213" w:rsidRDefault="001A4F38" w:rsidP="00CD5213">
      <w:pPr>
        <w:pStyle w:val="Heading2"/>
        <w:rPr>
          <w:rFonts w:eastAsia="Arial"/>
          <w:lang w:bidi="en-AU"/>
        </w:rPr>
      </w:pPr>
      <w:r w:rsidRPr="00CD5213">
        <w:rPr>
          <w:rFonts w:eastAsia="Arial"/>
          <w:lang w:bidi="en-AU"/>
        </w:rPr>
        <w:t>Definition</w:t>
      </w:r>
    </w:p>
    <w:p w:rsidR="001A4F38" w:rsidRPr="00CD5213" w:rsidRDefault="001A4F38" w:rsidP="00CD5213">
      <w:pPr>
        <w:spacing w:line="259" w:lineRule="auto"/>
        <w:ind w:right="211"/>
        <w:rPr>
          <w:rFonts w:eastAsiaTheme="minorHAnsi" w:cs="Arial"/>
          <w:szCs w:val="22"/>
          <w:lang w:eastAsia="en-US"/>
        </w:rPr>
      </w:pPr>
      <w:r w:rsidRPr="00CD5213">
        <w:rPr>
          <w:rFonts w:eastAsiaTheme="minorHAnsi" w:cs="Arial"/>
          <w:szCs w:val="22"/>
          <w:lang w:eastAsia="en-US"/>
        </w:rPr>
        <w:t xml:space="preserve">A “House Call Practice” is a practice that primarily offers house call veterinary services, not including visits for large animal consultations to farms, stables or other livestock premises. </w:t>
      </w:r>
    </w:p>
    <w:p w:rsidR="001A4F38" w:rsidRPr="00CD5213" w:rsidRDefault="001A4F38" w:rsidP="00CD5213">
      <w:pPr>
        <w:spacing w:line="259" w:lineRule="auto"/>
        <w:ind w:right="211"/>
        <w:rPr>
          <w:rFonts w:eastAsiaTheme="minorHAnsi" w:cs="Arial"/>
          <w:szCs w:val="22"/>
          <w:lang w:eastAsia="en-US"/>
        </w:rPr>
      </w:pPr>
      <w:r w:rsidRPr="00CD5213">
        <w:rPr>
          <w:rFonts w:eastAsiaTheme="minorHAnsi" w:cs="Arial"/>
          <w:szCs w:val="22"/>
          <w:lang w:eastAsia="en-US"/>
        </w:rPr>
        <w:t>This definition also includes house calls made by fixed veterinary premises.</w:t>
      </w:r>
    </w:p>
    <w:p w:rsidR="001A4F38" w:rsidRPr="00CD5213" w:rsidRDefault="00CD5213" w:rsidP="00CD5213">
      <w:pPr>
        <w:pStyle w:val="Heading2"/>
        <w:rPr>
          <w:rFonts w:ascii="Lato" w:eastAsia="Arial" w:hAnsi="Lato"/>
          <w:lang w:bidi="en-AU"/>
        </w:rPr>
      </w:pPr>
      <w:r w:rsidRPr="00CD5213">
        <w:rPr>
          <w:rFonts w:eastAsia="Arial"/>
          <w:lang w:bidi="en-AU"/>
        </w:rPr>
        <w:t>Standards</w:t>
      </w:r>
    </w:p>
    <w:p w:rsidR="001A4F38" w:rsidRPr="00CD5213" w:rsidRDefault="001A4F38" w:rsidP="00CD5213">
      <w:pPr>
        <w:widowControl w:val="0"/>
        <w:numPr>
          <w:ilvl w:val="0"/>
          <w:numId w:val="13"/>
        </w:numPr>
        <w:tabs>
          <w:tab w:val="left" w:pos="426"/>
        </w:tabs>
        <w:autoSpaceDE w:val="0"/>
        <w:autoSpaceDN w:val="0"/>
        <w:spacing w:before="120" w:after="0"/>
        <w:ind w:right="422"/>
        <w:rPr>
          <w:rFonts w:eastAsiaTheme="minorHAnsi" w:cs="Arial"/>
          <w:szCs w:val="22"/>
          <w:lang w:eastAsia="en-US"/>
        </w:rPr>
      </w:pPr>
      <w:r w:rsidRPr="00CD5213">
        <w:rPr>
          <w:rFonts w:eastAsiaTheme="minorHAnsi" w:cs="Arial"/>
          <w:szCs w:val="22"/>
          <w:lang w:eastAsia="en-US"/>
        </w:rPr>
        <w:t>A House Call Practice shall provide ready communication for the public with the house call veterinarian(s), including arrangements for out-of-hours and/or emergency</w:t>
      </w:r>
      <w:r w:rsidRPr="00CD5213">
        <w:rPr>
          <w:rFonts w:eastAsiaTheme="minorHAnsi" w:cs="Arial"/>
          <w:spacing w:val="-4"/>
          <w:szCs w:val="22"/>
          <w:lang w:eastAsia="en-US"/>
        </w:rPr>
        <w:t xml:space="preserve"> </w:t>
      </w:r>
      <w:r w:rsidRPr="00CD5213">
        <w:rPr>
          <w:rFonts w:eastAsiaTheme="minorHAnsi" w:cs="Arial"/>
          <w:szCs w:val="22"/>
          <w:lang w:eastAsia="en-US"/>
        </w:rPr>
        <w:t>cases.</w:t>
      </w:r>
    </w:p>
    <w:p w:rsidR="001A4F38" w:rsidRPr="00CD5213" w:rsidRDefault="001A4F38" w:rsidP="00CD5213">
      <w:pPr>
        <w:widowControl w:val="0"/>
        <w:numPr>
          <w:ilvl w:val="0"/>
          <w:numId w:val="13"/>
        </w:numPr>
        <w:autoSpaceDE w:val="0"/>
        <w:autoSpaceDN w:val="0"/>
        <w:spacing w:before="120" w:after="0"/>
        <w:ind w:right="962"/>
        <w:rPr>
          <w:rFonts w:eastAsiaTheme="minorHAnsi" w:cs="Arial"/>
          <w:szCs w:val="22"/>
          <w:lang w:eastAsia="en-US"/>
        </w:rPr>
      </w:pPr>
      <w:r w:rsidRPr="00CD5213">
        <w:rPr>
          <w:rFonts w:eastAsiaTheme="minorHAnsi" w:cs="Arial"/>
          <w:szCs w:val="22"/>
          <w:lang w:eastAsia="en-US"/>
        </w:rPr>
        <w:t>A House Call Practice shall have access to a fixed veterinary premise which complies with Guidelines on Minimum Standards for Veterinary Premises.</w:t>
      </w:r>
    </w:p>
    <w:p w:rsidR="001A4F38" w:rsidRPr="00CD5213" w:rsidRDefault="001A4F38" w:rsidP="00CD5213">
      <w:pPr>
        <w:widowControl w:val="0"/>
        <w:numPr>
          <w:ilvl w:val="0"/>
          <w:numId w:val="13"/>
        </w:numPr>
        <w:autoSpaceDE w:val="0"/>
        <w:autoSpaceDN w:val="0"/>
        <w:spacing w:before="120" w:after="0"/>
        <w:ind w:right="718"/>
        <w:rPr>
          <w:rFonts w:eastAsiaTheme="minorHAnsi" w:cs="Arial"/>
          <w:szCs w:val="22"/>
          <w:lang w:eastAsia="en-US"/>
        </w:rPr>
      </w:pPr>
      <w:r w:rsidRPr="00CD5213">
        <w:rPr>
          <w:rFonts w:eastAsiaTheme="minorHAnsi" w:cs="Arial"/>
          <w:szCs w:val="22"/>
          <w:lang w:eastAsia="en-US"/>
        </w:rPr>
        <w:t>When performing house calls, the veterinarian shall carry out only those procedures for which they have suitable facilities and equipment, and that do not require general anaesthetic. All other procedures are to be performed at the base clinic or other suitable veterinary</w:t>
      </w:r>
      <w:r w:rsidRPr="00CD5213">
        <w:rPr>
          <w:rFonts w:eastAsiaTheme="minorHAnsi" w:cs="Arial"/>
          <w:spacing w:val="-20"/>
          <w:szCs w:val="22"/>
          <w:lang w:eastAsia="en-US"/>
        </w:rPr>
        <w:t xml:space="preserve"> </w:t>
      </w:r>
      <w:r w:rsidRPr="00CD5213">
        <w:rPr>
          <w:rFonts w:eastAsiaTheme="minorHAnsi" w:cs="Arial"/>
          <w:szCs w:val="22"/>
          <w:lang w:eastAsia="en-US"/>
        </w:rPr>
        <w:t>premises.</w:t>
      </w:r>
    </w:p>
    <w:p w:rsidR="001A4F38" w:rsidRPr="00CD5213" w:rsidRDefault="001A4F38" w:rsidP="00CD5213">
      <w:pPr>
        <w:widowControl w:val="0"/>
        <w:numPr>
          <w:ilvl w:val="0"/>
          <w:numId w:val="13"/>
        </w:numPr>
        <w:tabs>
          <w:tab w:val="left" w:pos="786"/>
          <w:tab w:val="left" w:pos="787"/>
        </w:tabs>
        <w:autoSpaceDE w:val="0"/>
        <w:autoSpaceDN w:val="0"/>
        <w:spacing w:before="120" w:after="0"/>
        <w:rPr>
          <w:rFonts w:eastAsiaTheme="minorHAnsi" w:cs="Arial"/>
          <w:szCs w:val="22"/>
          <w:lang w:eastAsia="en-US"/>
        </w:rPr>
      </w:pPr>
      <w:r w:rsidRPr="00CD5213">
        <w:rPr>
          <w:rFonts w:eastAsiaTheme="minorHAnsi" w:cs="Arial"/>
          <w:szCs w:val="22"/>
          <w:lang w:eastAsia="en-US"/>
        </w:rPr>
        <w:t>The vehicle used for house calls</w:t>
      </w:r>
      <w:r w:rsidRPr="00CD5213">
        <w:rPr>
          <w:rFonts w:eastAsiaTheme="minorHAnsi" w:cs="Arial"/>
          <w:spacing w:val="-3"/>
          <w:szCs w:val="22"/>
          <w:lang w:eastAsia="en-US"/>
        </w:rPr>
        <w:t xml:space="preserve"> </w:t>
      </w:r>
      <w:r w:rsidRPr="00CD5213">
        <w:rPr>
          <w:rFonts w:eastAsiaTheme="minorHAnsi" w:cs="Arial"/>
          <w:szCs w:val="22"/>
          <w:lang w:eastAsia="en-US"/>
        </w:rPr>
        <w:t>shall:</w:t>
      </w:r>
    </w:p>
    <w:p w:rsidR="001A4F38" w:rsidRPr="00CD5213" w:rsidRDefault="001A4F38" w:rsidP="00CD5213">
      <w:pPr>
        <w:widowControl w:val="0"/>
        <w:numPr>
          <w:ilvl w:val="0"/>
          <w:numId w:val="14"/>
        </w:numPr>
        <w:tabs>
          <w:tab w:val="left" w:pos="851"/>
        </w:tabs>
        <w:autoSpaceDE w:val="0"/>
        <w:autoSpaceDN w:val="0"/>
        <w:spacing w:before="120" w:after="0"/>
        <w:ind w:left="851" w:hanging="284"/>
        <w:rPr>
          <w:rFonts w:eastAsiaTheme="minorHAnsi" w:cs="Arial"/>
          <w:szCs w:val="22"/>
          <w:lang w:eastAsia="en-US"/>
        </w:rPr>
      </w:pPr>
      <w:r w:rsidRPr="00CD5213">
        <w:rPr>
          <w:rFonts w:eastAsiaTheme="minorHAnsi" w:cs="Arial"/>
          <w:szCs w:val="22"/>
          <w:lang w:eastAsia="en-US"/>
        </w:rPr>
        <w:t>be clean and hygienic at all</w:t>
      </w:r>
      <w:r w:rsidRPr="00CD5213">
        <w:rPr>
          <w:rFonts w:eastAsiaTheme="minorHAnsi" w:cs="Arial"/>
          <w:spacing w:val="-4"/>
          <w:szCs w:val="22"/>
          <w:lang w:eastAsia="en-US"/>
        </w:rPr>
        <w:t xml:space="preserve"> </w:t>
      </w:r>
      <w:r w:rsidRPr="00CD5213">
        <w:rPr>
          <w:rFonts w:eastAsiaTheme="minorHAnsi" w:cs="Arial"/>
          <w:szCs w:val="22"/>
          <w:lang w:eastAsia="en-US"/>
        </w:rPr>
        <w:t>times;</w:t>
      </w:r>
    </w:p>
    <w:p w:rsidR="001A4F38" w:rsidRPr="00CD5213" w:rsidRDefault="001A4F38" w:rsidP="00CD5213">
      <w:pPr>
        <w:widowControl w:val="0"/>
        <w:numPr>
          <w:ilvl w:val="1"/>
          <w:numId w:val="14"/>
        </w:numPr>
        <w:tabs>
          <w:tab w:val="left" w:pos="851"/>
        </w:tabs>
        <w:autoSpaceDE w:val="0"/>
        <w:autoSpaceDN w:val="0"/>
        <w:spacing w:before="120"/>
        <w:ind w:right="285"/>
        <w:rPr>
          <w:rFonts w:eastAsiaTheme="minorHAnsi" w:cs="Arial"/>
          <w:szCs w:val="22"/>
          <w:lang w:eastAsia="en-US"/>
        </w:rPr>
      </w:pPr>
      <w:r w:rsidRPr="00CD5213">
        <w:rPr>
          <w:rFonts w:eastAsiaTheme="minorHAnsi" w:cs="Arial"/>
          <w:szCs w:val="22"/>
          <w:lang w:eastAsia="en-US"/>
        </w:rPr>
        <w:t xml:space="preserve">have secure storage for carrying drugs as required by the </w:t>
      </w:r>
      <w:r w:rsidRPr="00CD5213">
        <w:rPr>
          <w:rFonts w:eastAsiaTheme="minorHAnsi" w:cs="Arial"/>
          <w:i/>
          <w:szCs w:val="22"/>
          <w:lang w:eastAsia="en-US"/>
        </w:rPr>
        <w:t>Medicines</w:t>
      </w:r>
      <w:r w:rsidRPr="00CD5213">
        <w:rPr>
          <w:rFonts w:eastAsiaTheme="minorHAnsi" w:cs="Arial"/>
          <w:szCs w:val="22"/>
          <w:lang w:eastAsia="en-US"/>
        </w:rPr>
        <w:t xml:space="preserve"> </w:t>
      </w:r>
      <w:r w:rsidRPr="00CD5213">
        <w:rPr>
          <w:rFonts w:eastAsiaTheme="minorHAnsi" w:cs="Arial"/>
          <w:i/>
          <w:szCs w:val="22"/>
          <w:lang w:eastAsia="en-US"/>
        </w:rPr>
        <w:t xml:space="preserve">Poisons and Therapeutic Goods Act </w:t>
      </w:r>
      <w:r w:rsidRPr="00CD5213">
        <w:rPr>
          <w:rFonts w:eastAsiaTheme="minorHAnsi" w:cs="Arial"/>
          <w:szCs w:val="22"/>
          <w:lang w:eastAsia="en-US"/>
        </w:rPr>
        <w:t xml:space="preserve">and Regulations and the </w:t>
      </w:r>
      <w:r w:rsidRPr="00CD5213">
        <w:rPr>
          <w:rFonts w:eastAsiaTheme="minorHAnsi" w:cs="Arial"/>
          <w:i/>
          <w:szCs w:val="22"/>
          <w:lang w:eastAsia="en-US"/>
        </w:rPr>
        <w:t xml:space="preserve">Agricultural and Veterinary Chemicals (Control of Use) Act </w:t>
      </w:r>
      <w:r w:rsidRPr="00CD5213">
        <w:rPr>
          <w:rFonts w:eastAsiaTheme="minorHAnsi" w:cs="Arial"/>
          <w:szCs w:val="22"/>
          <w:lang w:eastAsia="en-US"/>
        </w:rPr>
        <w:t>and Regulations (or any subsequent amendment to these</w:t>
      </w:r>
      <w:r w:rsidRPr="00CD5213">
        <w:rPr>
          <w:rFonts w:eastAsiaTheme="minorHAnsi" w:cs="Arial"/>
          <w:spacing w:val="-10"/>
          <w:szCs w:val="22"/>
          <w:lang w:eastAsia="en-US"/>
        </w:rPr>
        <w:t xml:space="preserve"> </w:t>
      </w:r>
      <w:r w:rsidRPr="00CD5213">
        <w:rPr>
          <w:rFonts w:eastAsiaTheme="minorHAnsi" w:cs="Arial"/>
          <w:szCs w:val="22"/>
          <w:lang w:eastAsia="en-US"/>
        </w:rPr>
        <w:t>regulations);</w:t>
      </w:r>
    </w:p>
    <w:p w:rsidR="001A4F38" w:rsidRPr="00CD5213" w:rsidRDefault="001A4F38" w:rsidP="00CD5213">
      <w:pPr>
        <w:pStyle w:val="ListParagraph"/>
        <w:numPr>
          <w:ilvl w:val="0"/>
          <w:numId w:val="14"/>
        </w:numPr>
        <w:spacing w:after="0"/>
        <w:ind w:left="993" w:hanging="426"/>
        <w:rPr>
          <w:rFonts w:eastAsiaTheme="minorHAnsi" w:cs="Arial"/>
          <w:szCs w:val="22"/>
          <w:lang w:eastAsia="en-US"/>
        </w:rPr>
      </w:pPr>
      <w:r w:rsidRPr="00CD5213">
        <w:rPr>
          <w:rFonts w:eastAsiaTheme="minorHAnsi" w:cs="Arial"/>
          <w:szCs w:val="22"/>
          <w:lang w:eastAsia="en-US"/>
        </w:rPr>
        <w:t>carry adequate measures t</w:t>
      </w:r>
      <w:r w:rsidR="00CD5213" w:rsidRPr="00CD5213">
        <w:rPr>
          <w:rFonts w:eastAsiaTheme="minorHAnsi" w:cs="Arial"/>
          <w:szCs w:val="22"/>
          <w:lang w:eastAsia="en-US"/>
        </w:rPr>
        <w:t xml:space="preserve">o ensure that full and accurate </w:t>
      </w:r>
      <w:r w:rsidRPr="00CD5213">
        <w:rPr>
          <w:rFonts w:eastAsiaTheme="minorHAnsi" w:cs="Arial"/>
          <w:szCs w:val="22"/>
          <w:lang w:eastAsia="en-US"/>
        </w:rPr>
        <w:t>contemporaneous medical records are able to be</w:t>
      </w:r>
      <w:r w:rsidRPr="00CD5213">
        <w:rPr>
          <w:rFonts w:eastAsiaTheme="minorHAnsi" w:cs="Arial"/>
          <w:spacing w:val="-19"/>
          <w:szCs w:val="22"/>
          <w:lang w:eastAsia="en-US"/>
        </w:rPr>
        <w:t xml:space="preserve"> </w:t>
      </w:r>
      <w:r w:rsidRPr="00CD5213">
        <w:rPr>
          <w:rFonts w:eastAsiaTheme="minorHAnsi" w:cs="Arial"/>
          <w:szCs w:val="22"/>
          <w:lang w:eastAsia="en-US"/>
        </w:rPr>
        <w:t>completed;</w:t>
      </w:r>
    </w:p>
    <w:p w:rsidR="001A4F38" w:rsidRPr="00CD5213" w:rsidRDefault="001A4F38" w:rsidP="00CD5213">
      <w:pPr>
        <w:widowControl w:val="0"/>
        <w:numPr>
          <w:ilvl w:val="0"/>
          <w:numId w:val="14"/>
        </w:numPr>
        <w:tabs>
          <w:tab w:val="left" w:pos="1353"/>
          <w:tab w:val="left" w:pos="1354"/>
        </w:tabs>
        <w:autoSpaceDE w:val="0"/>
        <w:autoSpaceDN w:val="0"/>
        <w:spacing w:before="120" w:after="0"/>
        <w:ind w:left="993" w:right="531" w:hanging="426"/>
        <w:rPr>
          <w:rFonts w:eastAsiaTheme="minorHAnsi" w:cs="Arial"/>
          <w:szCs w:val="22"/>
          <w:lang w:eastAsia="en-US"/>
        </w:rPr>
      </w:pPr>
      <w:r w:rsidRPr="00CD5213">
        <w:rPr>
          <w:rFonts w:eastAsiaTheme="minorHAnsi" w:cs="Arial"/>
          <w:szCs w:val="22"/>
          <w:lang w:eastAsia="en-US"/>
        </w:rPr>
        <w:t>provide the necessary facilities for the safe transportation of patients when</w:t>
      </w:r>
      <w:r w:rsidRPr="00CD5213">
        <w:rPr>
          <w:rFonts w:eastAsiaTheme="minorHAnsi" w:cs="Arial"/>
          <w:spacing w:val="-1"/>
          <w:szCs w:val="22"/>
          <w:lang w:eastAsia="en-US"/>
        </w:rPr>
        <w:t xml:space="preserve"> </w:t>
      </w:r>
      <w:r w:rsidRPr="00CD5213">
        <w:rPr>
          <w:rFonts w:eastAsiaTheme="minorHAnsi" w:cs="Arial"/>
          <w:szCs w:val="22"/>
          <w:lang w:eastAsia="en-US"/>
        </w:rPr>
        <w:t>required;</w:t>
      </w:r>
    </w:p>
    <w:p w:rsidR="001A4F38" w:rsidRPr="00CD5213" w:rsidRDefault="001A4F38" w:rsidP="00CD5213">
      <w:pPr>
        <w:widowControl w:val="0"/>
        <w:numPr>
          <w:ilvl w:val="0"/>
          <w:numId w:val="14"/>
        </w:numPr>
        <w:tabs>
          <w:tab w:val="left" w:pos="1353"/>
          <w:tab w:val="left" w:pos="1354"/>
        </w:tabs>
        <w:autoSpaceDE w:val="0"/>
        <w:autoSpaceDN w:val="0"/>
        <w:spacing w:before="120" w:after="0"/>
        <w:ind w:left="993" w:right="913" w:hanging="426"/>
        <w:rPr>
          <w:rFonts w:eastAsiaTheme="minorHAnsi" w:cs="Arial"/>
          <w:szCs w:val="22"/>
          <w:lang w:eastAsia="en-US"/>
        </w:rPr>
      </w:pPr>
      <w:r w:rsidRPr="00CD5213">
        <w:rPr>
          <w:rFonts w:eastAsiaTheme="minorHAnsi" w:cs="Arial"/>
          <w:szCs w:val="22"/>
          <w:lang w:eastAsia="en-US"/>
        </w:rPr>
        <w:t>carry sufficient instruments and equipment for a thorough</w:t>
      </w:r>
      <w:r w:rsidR="00CD5213">
        <w:rPr>
          <w:rFonts w:eastAsiaTheme="minorHAnsi" w:cs="Arial"/>
          <w:szCs w:val="22"/>
          <w:lang w:eastAsia="en-US"/>
        </w:rPr>
        <w:t xml:space="preserve"> </w:t>
      </w:r>
      <w:r w:rsidRPr="00CD5213">
        <w:rPr>
          <w:rFonts w:eastAsiaTheme="minorHAnsi" w:cs="Arial"/>
          <w:szCs w:val="22"/>
          <w:lang w:eastAsia="en-US"/>
        </w:rPr>
        <w:t>clinical examination;</w:t>
      </w:r>
    </w:p>
    <w:p w:rsidR="00CD5213" w:rsidRDefault="001A4F38" w:rsidP="00CD5213">
      <w:pPr>
        <w:widowControl w:val="0"/>
        <w:numPr>
          <w:ilvl w:val="0"/>
          <w:numId w:val="14"/>
        </w:numPr>
        <w:tabs>
          <w:tab w:val="left" w:pos="1276"/>
        </w:tabs>
        <w:autoSpaceDE w:val="0"/>
        <w:autoSpaceDN w:val="0"/>
        <w:spacing w:before="120" w:after="0"/>
        <w:ind w:left="993" w:right="767" w:hanging="426"/>
        <w:rPr>
          <w:rFonts w:eastAsiaTheme="minorHAnsi" w:cs="Arial"/>
          <w:szCs w:val="22"/>
          <w:lang w:eastAsia="en-US"/>
        </w:rPr>
      </w:pPr>
      <w:proofErr w:type="gramStart"/>
      <w:r w:rsidRPr="00CD5213">
        <w:rPr>
          <w:rFonts w:eastAsiaTheme="minorHAnsi" w:cs="Arial"/>
          <w:szCs w:val="22"/>
          <w:lang w:eastAsia="en-US"/>
        </w:rPr>
        <w:t>be</w:t>
      </w:r>
      <w:proofErr w:type="gramEnd"/>
      <w:r w:rsidRPr="00CD5213">
        <w:rPr>
          <w:rFonts w:eastAsiaTheme="minorHAnsi" w:cs="Arial"/>
          <w:szCs w:val="22"/>
          <w:lang w:eastAsia="en-US"/>
        </w:rPr>
        <w:t xml:space="preserve"> capable of being locked and meet the requirements of all government regulations, including the </w:t>
      </w:r>
      <w:r w:rsidRPr="00CD5213">
        <w:rPr>
          <w:rFonts w:eastAsiaTheme="minorHAnsi" w:cs="Arial"/>
          <w:i/>
          <w:szCs w:val="22"/>
          <w:lang w:eastAsia="en-US"/>
        </w:rPr>
        <w:t>Medicines,</w:t>
      </w:r>
      <w:r w:rsidRPr="00CD5213">
        <w:rPr>
          <w:rFonts w:eastAsiaTheme="minorHAnsi" w:cs="Arial"/>
          <w:szCs w:val="22"/>
          <w:lang w:eastAsia="en-US"/>
        </w:rPr>
        <w:t xml:space="preserve"> </w:t>
      </w:r>
      <w:r w:rsidRPr="00CD5213">
        <w:rPr>
          <w:rFonts w:eastAsiaTheme="minorHAnsi" w:cs="Arial"/>
          <w:i/>
          <w:szCs w:val="22"/>
          <w:lang w:eastAsia="en-US"/>
        </w:rPr>
        <w:t xml:space="preserve">Poisons and Therapeutic Goods Act </w:t>
      </w:r>
      <w:r w:rsidRPr="00CD5213">
        <w:rPr>
          <w:rFonts w:eastAsiaTheme="minorHAnsi" w:cs="Arial"/>
          <w:szCs w:val="22"/>
          <w:lang w:eastAsia="en-US"/>
        </w:rPr>
        <w:t>and Regulations, and local government</w:t>
      </w:r>
      <w:r w:rsidRPr="00CD5213">
        <w:rPr>
          <w:rFonts w:eastAsiaTheme="minorHAnsi" w:cs="Arial"/>
          <w:spacing w:val="-1"/>
          <w:szCs w:val="22"/>
          <w:lang w:eastAsia="en-US"/>
        </w:rPr>
        <w:t xml:space="preserve"> </w:t>
      </w:r>
      <w:r w:rsidRPr="00CD5213">
        <w:rPr>
          <w:rFonts w:eastAsiaTheme="minorHAnsi" w:cs="Arial"/>
          <w:szCs w:val="22"/>
          <w:lang w:eastAsia="en-US"/>
        </w:rPr>
        <w:t>regulations.</w:t>
      </w:r>
    </w:p>
    <w:p w:rsidR="001A4F38" w:rsidRDefault="001A4F38" w:rsidP="00CD5213">
      <w:pPr>
        <w:widowControl w:val="0"/>
        <w:numPr>
          <w:ilvl w:val="0"/>
          <w:numId w:val="14"/>
        </w:numPr>
        <w:tabs>
          <w:tab w:val="left" w:pos="1276"/>
        </w:tabs>
        <w:autoSpaceDE w:val="0"/>
        <w:autoSpaceDN w:val="0"/>
        <w:spacing w:before="120" w:after="0"/>
        <w:ind w:left="993" w:right="636" w:hanging="426"/>
        <w:rPr>
          <w:rFonts w:eastAsiaTheme="minorHAnsi" w:cs="Arial"/>
          <w:szCs w:val="22"/>
          <w:lang w:eastAsia="en-US"/>
        </w:rPr>
      </w:pPr>
      <w:proofErr w:type="gramStart"/>
      <w:r w:rsidRPr="00CD5213">
        <w:rPr>
          <w:rFonts w:eastAsiaTheme="minorHAnsi" w:cs="Arial"/>
          <w:szCs w:val="22"/>
          <w:lang w:eastAsia="en-US"/>
        </w:rPr>
        <w:t>provide</w:t>
      </w:r>
      <w:proofErr w:type="gramEnd"/>
      <w:r w:rsidRPr="00CD5213">
        <w:rPr>
          <w:rFonts w:eastAsiaTheme="minorHAnsi" w:cs="Arial"/>
          <w:szCs w:val="22"/>
          <w:lang w:eastAsia="en-US"/>
        </w:rPr>
        <w:t xml:space="preserve"> facilities that allow for the prevention of spread of infectious</w:t>
      </w:r>
      <w:r w:rsidR="00CD5213" w:rsidRPr="00CD5213">
        <w:rPr>
          <w:rFonts w:eastAsiaTheme="minorHAnsi" w:cs="Arial"/>
          <w:szCs w:val="22"/>
          <w:lang w:eastAsia="en-US"/>
        </w:rPr>
        <w:t xml:space="preserve"> </w:t>
      </w:r>
      <w:r w:rsidRPr="00CD5213">
        <w:rPr>
          <w:rFonts w:eastAsiaTheme="minorHAnsi" w:cs="Arial"/>
          <w:szCs w:val="22"/>
          <w:lang w:eastAsia="en-US"/>
        </w:rPr>
        <w:t>disease between patients and</w:t>
      </w:r>
      <w:r w:rsidRPr="00CD5213">
        <w:rPr>
          <w:rFonts w:eastAsiaTheme="minorHAnsi" w:cs="Arial"/>
          <w:spacing w:val="-7"/>
          <w:szCs w:val="22"/>
          <w:lang w:eastAsia="en-US"/>
        </w:rPr>
        <w:t xml:space="preserve"> </w:t>
      </w:r>
      <w:r w:rsidRPr="00CD5213">
        <w:rPr>
          <w:rFonts w:eastAsiaTheme="minorHAnsi" w:cs="Arial"/>
          <w:szCs w:val="22"/>
          <w:lang w:eastAsia="en-US"/>
        </w:rPr>
        <w:t>premises.</w:t>
      </w:r>
    </w:p>
    <w:p w:rsidR="00CD5213" w:rsidRPr="00CD5213" w:rsidRDefault="00CD5213" w:rsidP="00CD5213">
      <w:pPr>
        <w:widowControl w:val="0"/>
        <w:tabs>
          <w:tab w:val="left" w:pos="1276"/>
        </w:tabs>
        <w:autoSpaceDE w:val="0"/>
        <w:autoSpaceDN w:val="0"/>
        <w:spacing w:before="120" w:after="0"/>
        <w:ind w:right="636"/>
        <w:rPr>
          <w:rFonts w:eastAsiaTheme="minorHAnsi" w:cs="Arial"/>
          <w:szCs w:val="22"/>
          <w:lang w:eastAsia="en-US"/>
        </w:rPr>
      </w:pPr>
    </w:p>
    <w:tbl>
      <w:tblPr>
        <w:tblW w:w="26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980"/>
      </w:tblGrid>
      <w:tr w:rsidR="005F44C1" w:rsidRPr="00CD5213" w:rsidTr="00B54B55">
        <w:trPr>
          <w:trHeight w:val="16"/>
        </w:trPr>
        <w:tc>
          <w:tcPr>
            <w:tcW w:w="2231" w:type="dxa"/>
            <w:shd w:val="clear" w:color="auto" w:fill="auto"/>
          </w:tcPr>
          <w:p w:rsidR="005F44C1" w:rsidRPr="00CD5213" w:rsidRDefault="005F44C1" w:rsidP="00CD5213">
            <w:pPr>
              <w:spacing w:after="0"/>
              <w:rPr>
                <w:szCs w:val="22"/>
              </w:rPr>
            </w:pPr>
            <w:r w:rsidRPr="00CD5213">
              <w:rPr>
                <w:szCs w:val="22"/>
              </w:rPr>
              <w:t>Version Control</w:t>
            </w:r>
          </w:p>
        </w:tc>
        <w:tc>
          <w:tcPr>
            <w:tcW w:w="2569" w:type="dxa"/>
            <w:shd w:val="clear" w:color="auto" w:fill="auto"/>
          </w:tcPr>
          <w:p w:rsidR="005F44C1" w:rsidRPr="00CD5213" w:rsidRDefault="00E816B6" w:rsidP="00CD5213">
            <w:pPr>
              <w:spacing w:after="0"/>
              <w:rPr>
                <w:szCs w:val="22"/>
              </w:rPr>
            </w:pPr>
            <w:r w:rsidRPr="00CD5213">
              <w:rPr>
                <w:szCs w:val="22"/>
              </w:rPr>
              <w:t>V</w:t>
            </w:r>
            <w:r w:rsidR="00170452" w:rsidRPr="00CD5213">
              <w:rPr>
                <w:szCs w:val="22"/>
              </w:rPr>
              <w:t xml:space="preserve"> 1</w:t>
            </w:r>
          </w:p>
        </w:tc>
      </w:tr>
      <w:tr w:rsidR="005F44C1" w:rsidRPr="00CD5213" w:rsidTr="00B54B55">
        <w:trPr>
          <w:trHeight w:val="16"/>
        </w:trPr>
        <w:tc>
          <w:tcPr>
            <w:tcW w:w="2231" w:type="dxa"/>
            <w:shd w:val="clear" w:color="auto" w:fill="auto"/>
          </w:tcPr>
          <w:p w:rsidR="005F44C1" w:rsidRPr="00CD5213" w:rsidRDefault="005F44C1" w:rsidP="00CD5213">
            <w:pPr>
              <w:spacing w:after="0"/>
              <w:rPr>
                <w:szCs w:val="22"/>
              </w:rPr>
            </w:pPr>
            <w:r w:rsidRPr="00CD5213">
              <w:rPr>
                <w:szCs w:val="22"/>
              </w:rPr>
              <w:t>Approved By</w:t>
            </w:r>
          </w:p>
        </w:tc>
        <w:tc>
          <w:tcPr>
            <w:tcW w:w="2569" w:type="dxa"/>
            <w:shd w:val="clear" w:color="auto" w:fill="auto"/>
          </w:tcPr>
          <w:p w:rsidR="005F44C1" w:rsidRPr="00CD5213" w:rsidRDefault="00170452" w:rsidP="00CD5213">
            <w:pPr>
              <w:spacing w:after="0"/>
              <w:rPr>
                <w:szCs w:val="22"/>
              </w:rPr>
            </w:pPr>
            <w:r w:rsidRPr="00CD5213">
              <w:rPr>
                <w:szCs w:val="22"/>
              </w:rPr>
              <w:t>Veterinary Board</w:t>
            </w:r>
          </w:p>
        </w:tc>
      </w:tr>
      <w:tr w:rsidR="005F44C1" w:rsidRPr="00CD5213" w:rsidTr="00B54B55">
        <w:trPr>
          <w:trHeight w:val="16"/>
        </w:trPr>
        <w:tc>
          <w:tcPr>
            <w:tcW w:w="2231" w:type="dxa"/>
            <w:shd w:val="clear" w:color="auto" w:fill="auto"/>
          </w:tcPr>
          <w:p w:rsidR="005F44C1" w:rsidRPr="00CD5213" w:rsidRDefault="005F44C1" w:rsidP="00CD5213">
            <w:pPr>
              <w:spacing w:after="0"/>
              <w:rPr>
                <w:szCs w:val="22"/>
              </w:rPr>
            </w:pPr>
            <w:r w:rsidRPr="00CD5213">
              <w:rPr>
                <w:szCs w:val="22"/>
              </w:rPr>
              <w:t>Last Reviewed</w:t>
            </w:r>
          </w:p>
        </w:tc>
        <w:tc>
          <w:tcPr>
            <w:tcW w:w="2569" w:type="dxa"/>
            <w:shd w:val="clear" w:color="auto" w:fill="auto"/>
          </w:tcPr>
          <w:p w:rsidR="005F44C1" w:rsidRPr="00CD5213" w:rsidRDefault="00170452" w:rsidP="00CD5213">
            <w:pPr>
              <w:spacing w:after="0"/>
              <w:rPr>
                <w:szCs w:val="22"/>
              </w:rPr>
            </w:pPr>
            <w:r w:rsidRPr="00CD5213">
              <w:rPr>
                <w:szCs w:val="22"/>
              </w:rPr>
              <w:t>July 2020</w:t>
            </w:r>
          </w:p>
        </w:tc>
      </w:tr>
      <w:tr w:rsidR="005F44C1" w:rsidRPr="00CD5213" w:rsidTr="00B54B55">
        <w:trPr>
          <w:trHeight w:val="16"/>
        </w:trPr>
        <w:tc>
          <w:tcPr>
            <w:tcW w:w="2231" w:type="dxa"/>
            <w:shd w:val="clear" w:color="auto" w:fill="auto"/>
          </w:tcPr>
          <w:p w:rsidR="005F44C1" w:rsidRPr="00CD5213" w:rsidRDefault="005F44C1" w:rsidP="00CD5213">
            <w:pPr>
              <w:spacing w:after="0"/>
              <w:rPr>
                <w:szCs w:val="22"/>
              </w:rPr>
            </w:pPr>
            <w:r w:rsidRPr="00CD5213">
              <w:rPr>
                <w:szCs w:val="22"/>
              </w:rPr>
              <w:t>Next Review</w:t>
            </w:r>
            <w:r w:rsidR="003951CB" w:rsidRPr="00CD5213">
              <w:rPr>
                <w:szCs w:val="22"/>
              </w:rPr>
              <w:t xml:space="preserve"> Date</w:t>
            </w:r>
          </w:p>
        </w:tc>
        <w:tc>
          <w:tcPr>
            <w:tcW w:w="2569" w:type="dxa"/>
            <w:shd w:val="clear" w:color="auto" w:fill="auto"/>
          </w:tcPr>
          <w:p w:rsidR="005F44C1" w:rsidRPr="00CD5213" w:rsidRDefault="00170452" w:rsidP="00CD5213">
            <w:pPr>
              <w:spacing w:after="0"/>
              <w:rPr>
                <w:szCs w:val="22"/>
              </w:rPr>
            </w:pPr>
            <w:r w:rsidRPr="00CD5213">
              <w:rPr>
                <w:szCs w:val="22"/>
              </w:rPr>
              <w:t>July 2023</w:t>
            </w:r>
          </w:p>
        </w:tc>
      </w:tr>
    </w:tbl>
    <w:p w:rsidR="00737244" w:rsidRPr="00CD5213" w:rsidRDefault="00737244" w:rsidP="00CD5213">
      <w:pPr>
        <w:tabs>
          <w:tab w:val="left" w:pos="3180"/>
        </w:tabs>
        <w:rPr>
          <w:lang w:val="en-US"/>
        </w:rPr>
      </w:pPr>
      <w:bookmarkStart w:id="0" w:name="_GoBack"/>
      <w:bookmarkEnd w:id="0"/>
    </w:p>
    <w:sectPr w:rsidR="00737244" w:rsidRPr="00CD5213" w:rsidSect="00CD5213">
      <w:headerReference w:type="even" r:id="rId8"/>
      <w:headerReference w:type="default" r:id="rId9"/>
      <w:footerReference w:type="default" r:id="rId10"/>
      <w:headerReference w:type="first" r:id="rId11"/>
      <w:footerReference w:type="first" r:id="rId12"/>
      <w:pgSz w:w="11906" w:h="16838"/>
      <w:pgMar w:top="720" w:right="720" w:bottom="720" w:left="720"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C97" w:rsidRDefault="00364C97" w:rsidP="00FF4C70">
      <w:r>
        <w:separator/>
      </w:r>
    </w:p>
    <w:p w:rsidR="00364C97" w:rsidRDefault="00364C97" w:rsidP="00FF4C70"/>
  </w:endnote>
  <w:endnote w:type="continuationSeparator" w:id="0">
    <w:p w:rsidR="00364C97" w:rsidRDefault="00364C97" w:rsidP="00FF4C70">
      <w:r>
        <w:continuationSeparator/>
      </w:r>
    </w:p>
    <w:p w:rsidR="00364C97" w:rsidRDefault="00364C97" w:rsidP="00FF4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Latin Heavy">
    <w:panose1 w:val="020F0502020204030203"/>
    <w:charset w:val="00"/>
    <w:family w:val="swiss"/>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CA" w:rsidRDefault="00A90497" w:rsidP="00FF4C70">
    <w:pPr>
      <w:pStyle w:val="Footer"/>
    </w:pPr>
    <w:r w:rsidRPr="00A90497">
      <w:t xml:space="preserve">Veterinary Board of the Northern Territory </w:t>
    </w:r>
    <w:r>
      <w:tab/>
    </w:r>
    <w:r w:rsidR="003E1690">
      <w:fldChar w:fldCharType="begin"/>
    </w:r>
    <w:r w:rsidR="003E1690">
      <w:instrText xml:space="preserve"> PAGE   \* MERGEFORMAT </w:instrText>
    </w:r>
    <w:r w:rsidR="003E1690">
      <w:fldChar w:fldCharType="separate"/>
    </w:r>
    <w:r w:rsidR="00CD5213">
      <w:rPr>
        <w:noProof/>
      </w:rPr>
      <w:t>2</w:t>
    </w:r>
    <w:r w:rsidR="003E169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CA" w:rsidRDefault="00A90497" w:rsidP="00CD5213">
    <w:pPr>
      <w:pStyle w:val="Footer"/>
      <w:tabs>
        <w:tab w:val="clear" w:pos="8306"/>
        <w:tab w:val="right" w:pos="10466"/>
      </w:tabs>
    </w:pPr>
    <w:r w:rsidRPr="00A90497">
      <w:t xml:space="preserve">Veterinary Board of the Northern Territory </w:t>
    </w:r>
    <w:r>
      <w:tab/>
    </w:r>
    <w:r w:rsidR="00CD5213">
      <w:t xml:space="preserve">Page </w:t>
    </w:r>
    <w:r w:rsidR="00CD5213">
      <w:rPr>
        <w:b/>
        <w:bCs/>
      </w:rPr>
      <w:fldChar w:fldCharType="begin"/>
    </w:r>
    <w:r w:rsidR="00CD5213">
      <w:rPr>
        <w:b/>
        <w:bCs/>
      </w:rPr>
      <w:instrText xml:space="preserve"> PAGE  \* Arabic  \* MERGEFORMAT </w:instrText>
    </w:r>
    <w:r w:rsidR="00CD5213">
      <w:rPr>
        <w:b/>
        <w:bCs/>
      </w:rPr>
      <w:fldChar w:fldCharType="separate"/>
    </w:r>
    <w:r w:rsidR="00B0612A">
      <w:rPr>
        <w:b/>
        <w:bCs/>
        <w:noProof/>
      </w:rPr>
      <w:t>1</w:t>
    </w:r>
    <w:r w:rsidR="00CD5213">
      <w:rPr>
        <w:b/>
        <w:bCs/>
      </w:rPr>
      <w:fldChar w:fldCharType="end"/>
    </w:r>
    <w:r w:rsidR="00CD5213">
      <w:t xml:space="preserve"> of </w:t>
    </w:r>
    <w:r w:rsidR="00CD5213">
      <w:rPr>
        <w:b/>
        <w:bCs/>
      </w:rPr>
      <w:fldChar w:fldCharType="begin"/>
    </w:r>
    <w:r w:rsidR="00CD5213">
      <w:rPr>
        <w:b/>
        <w:bCs/>
      </w:rPr>
      <w:instrText xml:space="preserve"> NUMPAGES  \* Arabic  \* MERGEFORMAT </w:instrText>
    </w:r>
    <w:r w:rsidR="00CD5213">
      <w:rPr>
        <w:b/>
        <w:bCs/>
      </w:rPr>
      <w:fldChar w:fldCharType="separate"/>
    </w:r>
    <w:r w:rsidR="00B0612A">
      <w:rPr>
        <w:b/>
        <w:bCs/>
        <w:noProof/>
      </w:rPr>
      <w:t>1</w:t>
    </w:r>
    <w:r w:rsidR="00CD521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C97" w:rsidRDefault="00364C97" w:rsidP="00FF4C70">
      <w:r>
        <w:separator/>
      </w:r>
    </w:p>
    <w:p w:rsidR="00364C97" w:rsidRDefault="00364C97" w:rsidP="00FF4C70"/>
  </w:footnote>
  <w:footnote w:type="continuationSeparator" w:id="0">
    <w:p w:rsidR="00364C97" w:rsidRDefault="00364C97" w:rsidP="00FF4C70">
      <w:r>
        <w:continuationSeparator/>
      </w:r>
    </w:p>
    <w:p w:rsidR="00364C97" w:rsidRDefault="00364C97" w:rsidP="00FF4C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90" w:rsidRDefault="003E1690" w:rsidP="00FF4C70">
    <w:pPr>
      <w:pStyle w:val="Header"/>
    </w:pPr>
  </w:p>
  <w:p w:rsidR="00C129CA" w:rsidRDefault="00C129CA" w:rsidP="00FF4C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C70" w:rsidRDefault="00FF4C70" w:rsidP="00FF4C70">
    <w:pPr>
      <w:jc w:val="right"/>
    </w:pPr>
  </w:p>
  <w:p w:rsidR="00D43060" w:rsidRPr="00D43060" w:rsidRDefault="00D43060" w:rsidP="00FF4C70">
    <w:pPr>
      <w:jc w:val="right"/>
    </w:pPr>
    <w:r w:rsidRPr="00D43060">
      <w:t xml:space="preserve">Guideline on </w:t>
    </w:r>
    <w:r w:rsidR="00170452">
      <w:t>House Call Practices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CA" w:rsidRDefault="00A90497" w:rsidP="008B01D8">
    <w:pPr>
      <w:pStyle w:val="Title"/>
    </w:pPr>
    <w:r w:rsidRPr="00F86CE7">
      <w:drawing>
        <wp:anchor distT="0" distB="0" distL="114300" distR="114300" simplePos="0" relativeHeight="251659264" behindDoc="0" locked="0" layoutInCell="1" allowOverlap="1">
          <wp:simplePos x="0" y="0"/>
          <wp:positionH relativeFrom="column">
            <wp:posOffset>0</wp:posOffset>
          </wp:positionH>
          <wp:positionV relativeFrom="paragraph">
            <wp:posOffset>-27709</wp:posOffset>
          </wp:positionV>
          <wp:extent cx="957580" cy="914400"/>
          <wp:effectExtent l="0" t="0" r="0" b="0"/>
          <wp:wrapSquare wrapText="bothSides"/>
          <wp:docPr id="158" name="Picture 158" descr="DPIR Vet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PIF Vet Board Logo (2)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580" cy="914400"/>
                  </a:xfrm>
                  <a:prstGeom prst="rect">
                    <a:avLst/>
                  </a:prstGeom>
                  <a:noFill/>
                  <a:ln>
                    <a:noFill/>
                  </a:ln>
                </pic:spPr>
              </pic:pic>
            </a:graphicData>
          </a:graphic>
        </wp:anchor>
      </w:drawing>
    </w:r>
    <w:r w:rsidR="00CD5213">
      <w:t>Guideline on minimum standards for house call practices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BE1"/>
    <w:multiLevelType w:val="multilevel"/>
    <w:tmpl w:val="B8040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173FAB"/>
    <w:multiLevelType w:val="hybridMultilevel"/>
    <w:tmpl w:val="7C763254"/>
    <w:lvl w:ilvl="0" w:tplc="1ED083A2">
      <w:start w:val="1"/>
      <w:numFmt w:val="upperLetter"/>
      <w:lvlText w:val="(%1)"/>
      <w:lvlJc w:val="left"/>
      <w:pPr>
        <w:ind w:left="1506" w:hanging="567"/>
      </w:pPr>
      <w:rPr>
        <w:rFonts w:ascii="Arial" w:eastAsia="Arial" w:hAnsi="Arial" w:cs="Arial" w:hint="default"/>
        <w:spacing w:val="-4"/>
        <w:w w:val="99"/>
        <w:sz w:val="24"/>
        <w:szCs w:val="24"/>
        <w:lang w:val="en-AU" w:eastAsia="en-AU" w:bidi="en-AU"/>
      </w:rPr>
    </w:lvl>
    <w:lvl w:ilvl="1" w:tplc="7ECE2548">
      <w:start w:val="1"/>
      <w:numFmt w:val="lowerLetter"/>
      <w:lvlText w:val="(%2)"/>
      <w:lvlJc w:val="left"/>
      <w:pPr>
        <w:ind w:left="2073" w:hanging="567"/>
      </w:pPr>
      <w:rPr>
        <w:rFonts w:ascii="Arial" w:eastAsia="Arial" w:hAnsi="Arial" w:cs="Arial" w:hint="default"/>
        <w:w w:val="99"/>
        <w:sz w:val="24"/>
        <w:szCs w:val="24"/>
        <w:lang w:val="en-AU" w:eastAsia="en-AU" w:bidi="en-AU"/>
      </w:rPr>
    </w:lvl>
    <w:lvl w:ilvl="2" w:tplc="A1640C26">
      <w:numFmt w:val="bullet"/>
      <w:lvlText w:val="•"/>
      <w:lvlJc w:val="left"/>
      <w:pPr>
        <w:ind w:left="2942" w:hanging="567"/>
      </w:pPr>
      <w:rPr>
        <w:rFonts w:hint="default"/>
        <w:lang w:val="en-AU" w:eastAsia="en-AU" w:bidi="en-AU"/>
      </w:rPr>
    </w:lvl>
    <w:lvl w:ilvl="3" w:tplc="6DB6402E">
      <w:numFmt w:val="bullet"/>
      <w:lvlText w:val="•"/>
      <w:lvlJc w:val="left"/>
      <w:pPr>
        <w:ind w:left="3805" w:hanging="567"/>
      </w:pPr>
      <w:rPr>
        <w:rFonts w:hint="default"/>
        <w:lang w:val="en-AU" w:eastAsia="en-AU" w:bidi="en-AU"/>
      </w:rPr>
    </w:lvl>
    <w:lvl w:ilvl="4" w:tplc="7EE6D798">
      <w:numFmt w:val="bullet"/>
      <w:lvlText w:val="•"/>
      <w:lvlJc w:val="left"/>
      <w:pPr>
        <w:ind w:left="4668" w:hanging="567"/>
      </w:pPr>
      <w:rPr>
        <w:rFonts w:hint="default"/>
        <w:lang w:val="en-AU" w:eastAsia="en-AU" w:bidi="en-AU"/>
      </w:rPr>
    </w:lvl>
    <w:lvl w:ilvl="5" w:tplc="813669B6">
      <w:numFmt w:val="bullet"/>
      <w:lvlText w:val="•"/>
      <w:lvlJc w:val="left"/>
      <w:pPr>
        <w:ind w:left="5531" w:hanging="567"/>
      </w:pPr>
      <w:rPr>
        <w:rFonts w:hint="default"/>
        <w:lang w:val="en-AU" w:eastAsia="en-AU" w:bidi="en-AU"/>
      </w:rPr>
    </w:lvl>
    <w:lvl w:ilvl="6" w:tplc="F63CDE9E">
      <w:numFmt w:val="bullet"/>
      <w:lvlText w:val="•"/>
      <w:lvlJc w:val="left"/>
      <w:pPr>
        <w:ind w:left="6394" w:hanging="567"/>
      </w:pPr>
      <w:rPr>
        <w:rFonts w:hint="default"/>
        <w:lang w:val="en-AU" w:eastAsia="en-AU" w:bidi="en-AU"/>
      </w:rPr>
    </w:lvl>
    <w:lvl w:ilvl="7" w:tplc="E7EE1596">
      <w:numFmt w:val="bullet"/>
      <w:lvlText w:val="•"/>
      <w:lvlJc w:val="left"/>
      <w:pPr>
        <w:ind w:left="7257" w:hanging="567"/>
      </w:pPr>
      <w:rPr>
        <w:rFonts w:hint="default"/>
        <w:lang w:val="en-AU" w:eastAsia="en-AU" w:bidi="en-AU"/>
      </w:rPr>
    </w:lvl>
    <w:lvl w:ilvl="8" w:tplc="58B2F946">
      <w:numFmt w:val="bullet"/>
      <w:lvlText w:val="•"/>
      <w:lvlJc w:val="left"/>
      <w:pPr>
        <w:ind w:left="8120" w:hanging="567"/>
      </w:pPr>
      <w:rPr>
        <w:rFonts w:hint="default"/>
        <w:lang w:val="en-AU" w:eastAsia="en-AU" w:bidi="en-AU"/>
      </w:rPr>
    </w:lvl>
  </w:abstractNum>
  <w:abstractNum w:abstractNumId="2" w15:restartNumberingAfterBreak="0">
    <w:nsid w:val="23470DC8"/>
    <w:multiLevelType w:val="hybridMultilevel"/>
    <w:tmpl w:val="E2D0C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CE63CD"/>
    <w:multiLevelType w:val="hybridMultilevel"/>
    <w:tmpl w:val="E176F1D4"/>
    <w:lvl w:ilvl="0" w:tplc="03563764">
      <w:numFmt w:val="bullet"/>
      <w:lvlText w:val=""/>
      <w:lvlJc w:val="left"/>
      <w:pPr>
        <w:ind w:left="786" w:hanging="567"/>
      </w:pPr>
      <w:rPr>
        <w:rFonts w:ascii="Symbol" w:eastAsia="Symbol" w:hAnsi="Symbol" w:cs="Symbol" w:hint="default"/>
        <w:w w:val="100"/>
        <w:sz w:val="24"/>
        <w:szCs w:val="24"/>
        <w:lang w:val="en-AU" w:eastAsia="en-AU" w:bidi="en-AU"/>
      </w:rPr>
    </w:lvl>
    <w:lvl w:ilvl="1" w:tplc="581EEABC">
      <w:numFmt w:val="bullet"/>
      <w:lvlText w:val="•"/>
      <w:lvlJc w:val="left"/>
      <w:pPr>
        <w:ind w:left="1614" w:hanging="567"/>
      </w:pPr>
      <w:rPr>
        <w:lang w:val="en-AU" w:eastAsia="en-AU" w:bidi="en-AU"/>
      </w:rPr>
    </w:lvl>
    <w:lvl w:ilvl="2" w:tplc="B8D2E818">
      <w:numFmt w:val="bullet"/>
      <w:lvlText w:val="•"/>
      <w:lvlJc w:val="left"/>
      <w:pPr>
        <w:ind w:left="2449" w:hanging="567"/>
      </w:pPr>
      <w:rPr>
        <w:lang w:val="en-AU" w:eastAsia="en-AU" w:bidi="en-AU"/>
      </w:rPr>
    </w:lvl>
    <w:lvl w:ilvl="3" w:tplc="A1A83B98">
      <w:numFmt w:val="bullet"/>
      <w:lvlText w:val="•"/>
      <w:lvlJc w:val="left"/>
      <w:pPr>
        <w:ind w:left="3283" w:hanging="567"/>
      </w:pPr>
      <w:rPr>
        <w:lang w:val="en-AU" w:eastAsia="en-AU" w:bidi="en-AU"/>
      </w:rPr>
    </w:lvl>
    <w:lvl w:ilvl="4" w:tplc="9412F8B2">
      <w:numFmt w:val="bullet"/>
      <w:lvlText w:val="•"/>
      <w:lvlJc w:val="left"/>
      <w:pPr>
        <w:ind w:left="4118" w:hanging="567"/>
      </w:pPr>
      <w:rPr>
        <w:lang w:val="en-AU" w:eastAsia="en-AU" w:bidi="en-AU"/>
      </w:rPr>
    </w:lvl>
    <w:lvl w:ilvl="5" w:tplc="53F69D92">
      <w:numFmt w:val="bullet"/>
      <w:lvlText w:val="•"/>
      <w:lvlJc w:val="left"/>
      <w:pPr>
        <w:ind w:left="4953" w:hanging="567"/>
      </w:pPr>
      <w:rPr>
        <w:lang w:val="en-AU" w:eastAsia="en-AU" w:bidi="en-AU"/>
      </w:rPr>
    </w:lvl>
    <w:lvl w:ilvl="6" w:tplc="9894CDF4">
      <w:numFmt w:val="bullet"/>
      <w:lvlText w:val="•"/>
      <w:lvlJc w:val="left"/>
      <w:pPr>
        <w:ind w:left="5787" w:hanging="567"/>
      </w:pPr>
      <w:rPr>
        <w:lang w:val="en-AU" w:eastAsia="en-AU" w:bidi="en-AU"/>
      </w:rPr>
    </w:lvl>
    <w:lvl w:ilvl="7" w:tplc="994A2E1E">
      <w:numFmt w:val="bullet"/>
      <w:lvlText w:val="•"/>
      <w:lvlJc w:val="left"/>
      <w:pPr>
        <w:ind w:left="6622" w:hanging="567"/>
      </w:pPr>
      <w:rPr>
        <w:lang w:val="en-AU" w:eastAsia="en-AU" w:bidi="en-AU"/>
      </w:rPr>
    </w:lvl>
    <w:lvl w:ilvl="8" w:tplc="B1569C84">
      <w:numFmt w:val="bullet"/>
      <w:lvlText w:val="•"/>
      <w:lvlJc w:val="left"/>
      <w:pPr>
        <w:ind w:left="7457" w:hanging="567"/>
      </w:pPr>
      <w:rPr>
        <w:lang w:val="en-AU" w:eastAsia="en-AU" w:bidi="en-AU"/>
      </w:rPr>
    </w:lvl>
  </w:abstractNum>
  <w:abstractNum w:abstractNumId="4" w15:restartNumberingAfterBreak="0">
    <w:nsid w:val="2FDD6E5B"/>
    <w:multiLevelType w:val="hybridMultilevel"/>
    <w:tmpl w:val="3850A8D0"/>
    <w:lvl w:ilvl="0" w:tplc="CE144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812AE9"/>
    <w:multiLevelType w:val="hybridMultilevel"/>
    <w:tmpl w:val="A738796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2838AA"/>
    <w:multiLevelType w:val="hybridMultilevel"/>
    <w:tmpl w:val="04C8BDD8"/>
    <w:lvl w:ilvl="0" w:tplc="78D4E00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246F5B"/>
    <w:multiLevelType w:val="hybridMultilevel"/>
    <w:tmpl w:val="64988EAC"/>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C8C4E7C"/>
    <w:multiLevelType w:val="hybridMultilevel"/>
    <w:tmpl w:val="6FCA0576"/>
    <w:lvl w:ilvl="0" w:tplc="74F8AAB2">
      <w:start w:val="1"/>
      <w:numFmt w:val="upperLetter"/>
      <w:lvlText w:val="(%1)"/>
      <w:lvlJc w:val="left"/>
      <w:pPr>
        <w:ind w:left="567" w:hanging="567"/>
      </w:pPr>
      <w:rPr>
        <w:rFonts w:hint="default"/>
        <w:spacing w:val="-4"/>
        <w:w w:val="99"/>
        <w:sz w:val="24"/>
        <w:szCs w:val="24"/>
        <w:lang w:val="en-AU" w:eastAsia="en-AU" w:bidi="en-AU"/>
      </w:rPr>
    </w:lvl>
    <w:lvl w:ilvl="1" w:tplc="7ECE2548">
      <w:start w:val="1"/>
      <w:numFmt w:val="lowerLetter"/>
      <w:lvlText w:val="(%2)"/>
      <w:lvlJc w:val="left"/>
      <w:pPr>
        <w:ind w:left="1134" w:hanging="567"/>
      </w:pPr>
      <w:rPr>
        <w:rFonts w:ascii="Arial" w:eastAsia="Arial" w:hAnsi="Arial" w:cs="Arial" w:hint="default"/>
        <w:w w:val="99"/>
        <w:sz w:val="24"/>
        <w:szCs w:val="24"/>
        <w:lang w:val="en-AU" w:eastAsia="en-AU" w:bidi="en-AU"/>
      </w:rPr>
    </w:lvl>
    <w:lvl w:ilvl="2" w:tplc="A1640C26">
      <w:numFmt w:val="bullet"/>
      <w:lvlText w:val="•"/>
      <w:lvlJc w:val="left"/>
      <w:pPr>
        <w:ind w:left="2003" w:hanging="567"/>
      </w:pPr>
      <w:rPr>
        <w:rFonts w:hint="default"/>
        <w:lang w:val="en-AU" w:eastAsia="en-AU" w:bidi="en-AU"/>
      </w:rPr>
    </w:lvl>
    <w:lvl w:ilvl="3" w:tplc="6DB6402E">
      <w:numFmt w:val="bullet"/>
      <w:lvlText w:val="•"/>
      <w:lvlJc w:val="left"/>
      <w:pPr>
        <w:ind w:left="2866" w:hanging="567"/>
      </w:pPr>
      <w:rPr>
        <w:rFonts w:hint="default"/>
        <w:lang w:val="en-AU" w:eastAsia="en-AU" w:bidi="en-AU"/>
      </w:rPr>
    </w:lvl>
    <w:lvl w:ilvl="4" w:tplc="7EE6D798">
      <w:numFmt w:val="bullet"/>
      <w:lvlText w:val="•"/>
      <w:lvlJc w:val="left"/>
      <w:pPr>
        <w:ind w:left="3729" w:hanging="567"/>
      </w:pPr>
      <w:rPr>
        <w:rFonts w:hint="default"/>
        <w:lang w:val="en-AU" w:eastAsia="en-AU" w:bidi="en-AU"/>
      </w:rPr>
    </w:lvl>
    <w:lvl w:ilvl="5" w:tplc="813669B6">
      <w:numFmt w:val="bullet"/>
      <w:lvlText w:val="•"/>
      <w:lvlJc w:val="left"/>
      <w:pPr>
        <w:ind w:left="4592" w:hanging="567"/>
      </w:pPr>
      <w:rPr>
        <w:rFonts w:hint="default"/>
        <w:lang w:val="en-AU" w:eastAsia="en-AU" w:bidi="en-AU"/>
      </w:rPr>
    </w:lvl>
    <w:lvl w:ilvl="6" w:tplc="F63CDE9E">
      <w:numFmt w:val="bullet"/>
      <w:lvlText w:val="•"/>
      <w:lvlJc w:val="left"/>
      <w:pPr>
        <w:ind w:left="5455" w:hanging="567"/>
      </w:pPr>
      <w:rPr>
        <w:rFonts w:hint="default"/>
        <w:lang w:val="en-AU" w:eastAsia="en-AU" w:bidi="en-AU"/>
      </w:rPr>
    </w:lvl>
    <w:lvl w:ilvl="7" w:tplc="E7EE1596">
      <w:numFmt w:val="bullet"/>
      <w:lvlText w:val="•"/>
      <w:lvlJc w:val="left"/>
      <w:pPr>
        <w:ind w:left="6318" w:hanging="567"/>
      </w:pPr>
      <w:rPr>
        <w:rFonts w:hint="default"/>
        <w:lang w:val="en-AU" w:eastAsia="en-AU" w:bidi="en-AU"/>
      </w:rPr>
    </w:lvl>
    <w:lvl w:ilvl="8" w:tplc="58B2F946">
      <w:numFmt w:val="bullet"/>
      <w:lvlText w:val="•"/>
      <w:lvlJc w:val="left"/>
      <w:pPr>
        <w:ind w:left="7181" w:hanging="567"/>
      </w:pPr>
      <w:rPr>
        <w:rFonts w:hint="default"/>
        <w:lang w:val="en-AU" w:eastAsia="en-AU" w:bidi="en-AU"/>
      </w:rPr>
    </w:lvl>
  </w:abstractNum>
  <w:abstractNum w:abstractNumId="9" w15:restartNumberingAfterBreak="0">
    <w:nsid w:val="4F2A3C5B"/>
    <w:multiLevelType w:val="hybridMultilevel"/>
    <w:tmpl w:val="DE82D7E4"/>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47065E1"/>
    <w:multiLevelType w:val="hybridMultilevel"/>
    <w:tmpl w:val="A466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1F4DE7"/>
    <w:multiLevelType w:val="hybridMultilevel"/>
    <w:tmpl w:val="BCD0F65A"/>
    <w:lvl w:ilvl="0" w:tplc="BA607BF4">
      <w:start w:val="1"/>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353200"/>
    <w:multiLevelType w:val="hybridMultilevel"/>
    <w:tmpl w:val="B1E8C0CC"/>
    <w:lvl w:ilvl="0" w:tplc="82489E62">
      <w:start w:val="7"/>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5D0532"/>
    <w:multiLevelType w:val="hybridMultilevel"/>
    <w:tmpl w:val="1076F19A"/>
    <w:lvl w:ilvl="0" w:tplc="B3101D8A">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2"/>
  </w:num>
  <w:num w:numId="3">
    <w:abstractNumId w:val="2"/>
  </w:num>
  <w:num w:numId="4">
    <w:abstractNumId w:val="11"/>
  </w:num>
  <w:num w:numId="5">
    <w:abstractNumId w:val="10"/>
  </w:num>
  <w:num w:numId="6">
    <w:abstractNumId w:val="6"/>
  </w:num>
  <w:num w:numId="7">
    <w:abstractNumId w:val="13"/>
  </w:num>
  <w:num w:numId="8">
    <w:abstractNumId w:val="4"/>
  </w:num>
  <w:num w:numId="9">
    <w:abstractNumId w:val="7"/>
  </w:num>
  <w:num w:numId="10">
    <w:abstractNumId w:val="3"/>
  </w:num>
  <w:num w:numId="11">
    <w:abstractNumId w:val="9"/>
  </w:num>
  <w:num w:numId="12">
    <w:abstractNumId w:val="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25"/>
    <w:rsid w:val="00007707"/>
    <w:rsid w:val="0001628C"/>
    <w:rsid w:val="00016E6C"/>
    <w:rsid w:val="0001708A"/>
    <w:rsid w:val="00033E10"/>
    <w:rsid w:val="000414D8"/>
    <w:rsid w:val="00046438"/>
    <w:rsid w:val="00051F4B"/>
    <w:rsid w:val="00062FA5"/>
    <w:rsid w:val="00066D36"/>
    <w:rsid w:val="00093F52"/>
    <w:rsid w:val="00096B03"/>
    <w:rsid w:val="000A1693"/>
    <w:rsid w:val="000A5E6B"/>
    <w:rsid w:val="000C0ED4"/>
    <w:rsid w:val="00102341"/>
    <w:rsid w:val="00103830"/>
    <w:rsid w:val="0010501B"/>
    <w:rsid w:val="0010617A"/>
    <w:rsid w:val="001069BF"/>
    <w:rsid w:val="00113CB1"/>
    <w:rsid w:val="0013394D"/>
    <w:rsid w:val="001416F8"/>
    <w:rsid w:val="00144E7D"/>
    <w:rsid w:val="0014773B"/>
    <w:rsid w:val="00170452"/>
    <w:rsid w:val="00173158"/>
    <w:rsid w:val="0018478B"/>
    <w:rsid w:val="001869FB"/>
    <w:rsid w:val="00191933"/>
    <w:rsid w:val="00196D46"/>
    <w:rsid w:val="001A14CD"/>
    <w:rsid w:val="001A41CA"/>
    <w:rsid w:val="001A4F38"/>
    <w:rsid w:val="001A5621"/>
    <w:rsid w:val="001A7590"/>
    <w:rsid w:val="001C17DD"/>
    <w:rsid w:val="001C4390"/>
    <w:rsid w:val="001D075E"/>
    <w:rsid w:val="001E07AD"/>
    <w:rsid w:val="001E6B0B"/>
    <w:rsid w:val="001F03F8"/>
    <w:rsid w:val="001F38B8"/>
    <w:rsid w:val="001F7121"/>
    <w:rsid w:val="00202F47"/>
    <w:rsid w:val="0022444B"/>
    <w:rsid w:val="00234804"/>
    <w:rsid w:val="00244A41"/>
    <w:rsid w:val="00246574"/>
    <w:rsid w:val="00251CE6"/>
    <w:rsid w:val="00251E7C"/>
    <w:rsid w:val="00270ACA"/>
    <w:rsid w:val="002801D8"/>
    <w:rsid w:val="0029119D"/>
    <w:rsid w:val="00297A7E"/>
    <w:rsid w:val="002D2570"/>
    <w:rsid w:val="002D403C"/>
    <w:rsid w:val="002E4820"/>
    <w:rsid w:val="0033006F"/>
    <w:rsid w:val="00364C97"/>
    <w:rsid w:val="003768B0"/>
    <w:rsid w:val="00383910"/>
    <w:rsid w:val="003951CB"/>
    <w:rsid w:val="003B4B2E"/>
    <w:rsid w:val="003B6F60"/>
    <w:rsid w:val="003C3D89"/>
    <w:rsid w:val="003C5A90"/>
    <w:rsid w:val="003D5678"/>
    <w:rsid w:val="003E0563"/>
    <w:rsid w:val="003E1690"/>
    <w:rsid w:val="003E338C"/>
    <w:rsid w:val="003F446F"/>
    <w:rsid w:val="00401237"/>
    <w:rsid w:val="0040281C"/>
    <w:rsid w:val="004108F5"/>
    <w:rsid w:val="00420063"/>
    <w:rsid w:val="00424A59"/>
    <w:rsid w:val="0042605C"/>
    <w:rsid w:val="004363CB"/>
    <w:rsid w:val="00455EC5"/>
    <w:rsid w:val="004563B7"/>
    <w:rsid w:val="00463090"/>
    <w:rsid w:val="004709A9"/>
    <w:rsid w:val="004862E5"/>
    <w:rsid w:val="00490A8B"/>
    <w:rsid w:val="00493C04"/>
    <w:rsid w:val="004A66E0"/>
    <w:rsid w:val="004B1C1E"/>
    <w:rsid w:val="004B1D64"/>
    <w:rsid w:val="004B5C5C"/>
    <w:rsid w:val="004C1921"/>
    <w:rsid w:val="004D1CCD"/>
    <w:rsid w:val="004E3790"/>
    <w:rsid w:val="004F4FAE"/>
    <w:rsid w:val="00501420"/>
    <w:rsid w:val="0050219F"/>
    <w:rsid w:val="005073D1"/>
    <w:rsid w:val="00516B2B"/>
    <w:rsid w:val="0052749D"/>
    <w:rsid w:val="00531C02"/>
    <w:rsid w:val="00541C5A"/>
    <w:rsid w:val="00543014"/>
    <w:rsid w:val="00550506"/>
    <w:rsid w:val="00550850"/>
    <w:rsid w:val="005546C0"/>
    <w:rsid w:val="00557732"/>
    <w:rsid w:val="005739C9"/>
    <w:rsid w:val="00583D5A"/>
    <w:rsid w:val="00586F0E"/>
    <w:rsid w:val="00587FB9"/>
    <w:rsid w:val="005D47CA"/>
    <w:rsid w:val="005D4C06"/>
    <w:rsid w:val="005E0556"/>
    <w:rsid w:val="005E417F"/>
    <w:rsid w:val="005E530D"/>
    <w:rsid w:val="005F33A1"/>
    <w:rsid w:val="005F44C1"/>
    <w:rsid w:val="00602DDA"/>
    <w:rsid w:val="006065FB"/>
    <w:rsid w:val="0060694A"/>
    <w:rsid w:val="0062095B"/>
    <w:rsid w:val="00622B8C"/>
    <w:rsid w:val="00623FA3"/>
    <w:rsid w:val="00675DA9"/>
    <w:rsid w:val="006863E7"/>
    <w:rsid w:val="00695F1D"/>
    <w:rsid w:val="006A0962"/>
    <w:rsid w:val="006B68D2"/>
    <w:rsid w:val="006C166A"/>
    <w:rsid w:val="006C694D"/>
    <w:rsid w:val="006D64FC"/>
    <w:rsid w:val="006F6173"/>
    <w:rsid w:val="00704307"/>
    <w:rsid w:val="007047C0"/>
    <w:rsid w:val="007061F5"/>
    <w:rsid w:val="007117DF"/>
    <w:rsid w:val="00713F88"/>
    <w:rsid w:val="00737244"/>
    <w:rsid w:val="00757295"/>
    <w:rsid w:val="00764547"/>
    <w:rsid w:val="00770878"/>
    <w:rsid w:val="00791183"/>
    <w:rsid w:val="007A13A4"/>
    <w:rsid w:val="007B49DB"/>
    <w:rsid w:val="007B747F"/>
    <w:rsid w:val="007C263C"/>
    <w:rsid w:val="007F7CC7"/>
    <w:rsid w:val="007F7E3F"/>
    <w:rsid w:val="008028FC"/>
    <w:rsid w:val="00822657"/>
    <w:rsid w:val="00825867"/>
    <w:rsid w:val="008328BF"/>
    <w:rsid w:val="00841DD5"/>
    <w:rsid w:val="0085203B"/>
    <w:rsid w:val="0085704F"/>
    <w:rsid w:val="00864E3C"/>
    <w:rsid w:val="00886B4A"/>
    <w:rsid w:val="00897858"/>
    <w:rsid w:val="008A087A"/>
    <w:rsid w:val="008A54FC"/>
    <w:rsid w:val="008B01D8"/>
    <w:rsid w:val="008B1728"/>
    <w:rsid w:val="008B47DA"/>
    <w:rsid w:val="008C6DF4"/>
    <w:rsid w:val="008D5ED9"/>
    <w:rsid w:val="008E1B85"/>
    <w:rsid w:val="008E494C"/>
    <w:rsid w:val="008E4EA1"/>
    <w:rsid w:val="008E5D58"/>
    <w:rsid w:val="008E7800"/>
    <w:rsid w:val="008F40B8"/>
    <w:rsid w:val="009174DE"/>
    <w:rsid w:val="009221B9"/>
    <w:rsid w:val="00922825"/>
    <w:rsid w:val="00940C7F"/>
    <w:rsid w:val="00976454"/>
    <w:rsid w:val="00984A1E"/>
    <w:rsid w:val="009A6481"/>
    <w:rsid w:val="009A7C0D"/>
    <w:rsid w:val="009D0016"/>
    <w:rsid w:val="009D65AC"/>
    <w:rsid w:val="009E2576"/>
    <w:rsid w:val="009F11C2"/>
    <w:rsid w:val="00A113CC"/>
    <w:rsid w:val="00A151FC"/>
    <w:rsid w:val="00A17D57"/>
    <w:rsid w:val="00A25157"/>
    <w:rsid w:val="00A3113F"/>
    <w:rsid w:val="00A40C15"/>
    <w:rsid w:val="00A42F05"/>
    <w:rsid w:val="00A56592"/>
    <w:rsid w:val="00A57371"/>
    <w:rsid w:val="00A90497"/>
    <w:rsid w:val="00A91EEE"/>
    <w:rsid w:val="00A93D6C"/>
    <w:rsid w:val="00A95270"/>
    <w:rsid w:val="00AA224A"/>
    <w:rsid w:val="00AA4382"/>
    <w:rsid w:val="00AA6CA6"/>
    <w:rsid w:val="00AB2439"/>
    <w:rsid w:val="00AC7679"/>
    <w:rsid w:val="00AD1612"/>
    <w:rsid w:val="00AF0062"/>
    <w:rsid w:val="00B04B8A"/>
    <w:rsid w:val="00B0528F"/>
    <w:rsid w:val="00B0612A"/>
    <w:rsid w:val="00B13DFD"/>
    <w:rsid w:val="00B269A1"/>
    <w:rsid w:val="00B54B55"/>
    <w:rsid w:val="00B83C88"/>
    <w:rsid w:val="00B86E93"/>
    <w:rsid w:val="00B92F2A"/>
    <w:rsid w:val="00BA0295"/>
    <w:rsid w:val="00BA6249"/>
    <w:rsid w:val="00BC1EA9"/>
    <w:rsid w:val="00BE4503"/>
    <w:rsid w:val="00BE6BDF"/>
    <w:rsid w:val="00BF1593"/>
    <w:rsid w:val="00BF4E7B"/>
    <w:rsid w:val="00C07358"/>
    <w:rsid w:val="00C129CA"/>
    <w:rsid w:val="00C13ED2"/>
    <w:rsid w:val="00C14AE7"/>
    <w:rsid w:val="00C15807"/>
    <w:rsid w:val="00C36676"/>
    <w:rsid w:val="00C44351"/>
    <w:rsid w:val="00C452FD"/>
    <w:rsid w:val="00C62DAC"/>
    <w:rsid w:val="00C64C79"/>
    <w:rsid w:val="00C83FA4"/>
    <w:rsid w:val="00C8716D"/>
    <w:rsid w:val="00C87348"/>
    <w:rsid w:val="00CB3921"/>
    <w:rsid w:val="00CC5621"/>
    <w:rsid w:val="00CC6EC4"/>
    <w:rsid w:val="00CD5213"/>
    <w:rsid w:val="00CD5683"/>
    <w:rsid w:val="00D154E2"/>
    <w:rsid w:val="00D43060"/>
    <w:rsid w:val="00D44587"/>
    <w:rsid w:val="00D549C1"/>
    <w:rsid w:val="00D70CE2"/>
    <w:rsid w:val="00D741A9"/>
    <w:rsid w:val="00D74DCC"/>
    <w:rsid w:val="00D74EA0"/>
    <w:rsid w:val="00D751BB"/>
    <w:rsid w:val="00D804A9"/>
    <w:rsid w:val="00D84944"/>
    <w:rsid w:val="00D91C34"/>
    <w:rsid w:val="00DA45C1"/>
    <w:rsid w:val="00DB4D35"/>
    <w:rsid w:val="00DB5484"/>
    <w:rsid w:val="00DB59C3"/>
    <w:rsid w:val="00DC409D"/>
    <w:rsid w:val="00DC49BD"/>
    <w:rsid w:val="00DD4B08"/>
    <w:rsid w:val="00DE6A8F"/>
    <w:rsid w:val="00DF3FEE"/>
    <w:rsid w:val="00DF5521"/>
    <w:rsid w:val="00E00161"/>
    <w:rsid w:val="00E0472D"/>
    <w:rsid w:val="00E10BED"/>
    <w:rsid w:val="00E15B46"/>
    <w:rsid w:val="00E170CE"/>
    <w:rsid w:val="00E61E2C"/>
    <w:rsid w:val="00E67B60"/>
    <w:rsid w:val="00E702FC"/>
    <w:rsid w:val="00E816B6"/>
    <w:rsid w:val="00E86241"/>
    <w:rsid w:val="00E925F6"/>
    <w:rsid w:val="00EA0353"/>
    <w:rsid w:val="00EC52DB"/>
    <w:rsid w:val="00ED79AE"/>
    <w:rsid w:val="00EE3E40"/>
    <w:rsid w:val="00EF6A8D"/>
    <w:rsid w:val="00F00779"/>
    <w:rsid w:val="00F02039"/>
    <w:rsid w:val="00F11FEC"/>
    <w:rsid w:val="00F12A12"/>
    <w:rsid w:val="00F2048E"/>
    <w:rsid w:val="00F23586"/>
    <w:rsid w:val="00F33962"/>
    <w:rsid w:val="00F405CA"/>
    <w:rsid w:val="00F4327F"/>
    <w:rsid w:val="00F564FE"/>
    <w:rsid w:val="00F75993"/>
    <w:rsid w:val="00F86CE7"/>
    <w:rsid w:val="00FB47F6"/>
    <w:rsid w:val="00FB7A36"/>
    <w:rsid w:val="00FC4A67"/>
    <w:rsid w:val="00FE5C19"/>
    <w:rsid w:val="00FF4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1F0D8"/>
  <w15:chartTrackingRefBased/>
  <w15:docId w15:val="{45A44A5D-52FD-4C37-8D63-5F047B3B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C70"/>
    <w:pPr>
      <w:spacing w:after="120"/>
    </w:pPr>
    <w:rPr>
      <w:rFonts w:ascii="Lato" w:hAnsi="Lato"/>
      <w:sz w:val="22"/>
      <w:szCs w:val="24"/>
    </w:rPr>
  </w:style>
  <w:style w:type="paragraph" w:styleId="Heading1">
    <w:name w:val="heading 1"/>
    <w:basedOn w:val="Normal"/>
    <w:next w:val="Normal"/>
    <w:qFormat/>
    <w:rsid w:val="004B1D6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D43060"/>
    <w:pPr>
      <w:keepNext/>
      <w:spacing w:before="240"/>
      <w:outlineLvl w:val="1"/>
    </w:pPr>
    <w:rPr>
      <w:rFonts w:ascii="LatoLatin Heavy" w:eastAsiaTheme="majorEastAsia" w:hAnsi="LatoLatin Heavy" w:cstheme="majorBidi"/>
      <w:bCs/>
      <w:iCs/>
      <w:sz w:val="28"/>
      <w:szCs w:val="28"/>
    </w:rPr>
  </w:style>
  <w:style w:type="paragraph" w:styleId="Heading3">
    <w:name w:val="heading 3"/>
    <w:basedOn w:val="Normal"/>
    <w:next w:val="Normal"/>
    <w:link w:val="Heading3Char"/>
    <w:unhideWhenUsed/>
    <w:qFormat/>
    <w:rsid w:val="008B01D8"/>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4B1D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spacing w:val="-3"/>
      <w:sz w:val="26"/>
      <w:szCs w:val="20"/>
      <w:lang w:val="en-GB"/>
    </w:rPr>
  </w:style>
  <w:style w:type="character" w:customStyle="1" w:styleId="SectionChar">
    <w:name w:val="Section Char"/>
    <w:link w:val="Section"/>
    <w:rsid w:val="004B1D64"/>
    <w:rPr>
      <w:spacing w:val="-3"/>
      <w:sz w:val="26"/>
      <w:lang w:val="en-GB" w:eastAsia="en-AU" w:bidi="ar-SA"/>
    </w:rPr>
  </w:style>
  <w:style w:type="paragraph" w:customStyle="1" w:styleId="NewSectionHeading">
    <w:name w:val="New Section Heading"/>
    <w:basedOn w:val="Heading1"/>
    <w:next w:val="Normal"/>
    <w:rsid w:val="004B1D6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hanging="720"/>
      <w:jc w:val="both"/>
      <w:outlineLvl w:val="9"/>
    </w:pPr>
    <w:rPr>
      <w:rFonts w:ascii="Times New Roman" w:hAnsi="Times New Roman" w:cs="Times New Roman"/>
      <w:bCs w:val="0"/>
      <w:spacing w:val="-3"/>
      <w:kern w:val="28"/>
      <w:sz w:val="26"/>
      <w:szCs w:val="20"/>
      <w:lang w:val="en-GB"/>
    </w:rPr>
  </w:style>
  <w:style w:type="paragraph" w:styleId="Header">
    <w:name w:val="header"/>
    <w:basedOn w:val="Normal"/>
    <w:rsid w:val="00A91EEE"/>
    <w:pPr>
      <w:tabs>
        <w:tab w:val="center" w:pos="4153"/>
        <w:tab w:val="right" w:pos="8306"/>
      </w:tabs>
    </w:pPr>
  </w:style>
  <w:style w:type="paragraph" w:styleId="Footer">
    <w:name w:val="footer"/>
    <w:basedOn w:val="Normal"/>
    <w:link w:val="FooterChar"/>
    <w:uiPriority w:val="99"/>
    <w:rsid w:val="00A91EEE"/>
    <w:pPr>
      <w:tabs>
        <w:tab w:val="center" w:pos="4153"/>
        <w:tab w:val="right" w:pos="8306"/>
      </w:tabs>
    </w:pPr>
  </w:style>
  <w:style w:type="paragraph" w:customStyle="1" w:styleId="Default">
    <w:name w:val="Default"/>
    <w:rsid w:val="005E0556"/>
    <w:pPr>
      <w:autoSpaceDE w:val="0"/>
      <w:autoSpaceDN w:val="0"/>
      <w:adjustRightInd w:val="0"/>
    </w:pPr>
    <w:rPr>
      <w:rFonts w:ascii="Arial" w:hAnsi="Arial" w:cs="Arial"/>
      <w:color w:val="000000"/>
      <w:sz w:val="24"/>
      <w:szCs w:val="24"/>
    </w:rPr>
  </w:style>
  <w:style w:type="character" w:styleId="Hyperlink">
    <w:name w:val="Hyperlink"/>
    <w:rsid w:val="005E0556"/>
    <w:rPr>
      <w:color w:val="0000FF"/>
      <w:u w:val="single"/>
    </w:rPr>
  </w:style>
  <w:style w:type="character" w:customStyle="1" w:styleId="FooterChar">
    <w:name w:val="Footer Char"/>
    <w:link w:val="Footer"/>
    <w:uiPriority w:val="99"/>
    <w:rsid w:val="00251E7C"/>
    <w:rPr>
      <w:sz w:val="24"/>
      <w:szCs w:val="24"/>
    </w:rPr>
  </w:style>
  <w:style w:type="paragraph" w:styleId="ListParagraph">
    <w:name w:val="List Paragraph"/>
    <w:basedOn w:val="Normal"/>
    <w:uiPriority w:val="34"/>
    <w:qFormat/>
    <w:rsid w:val="00FF4C70"/>
    <w:pPr>
      <w:spacing w:after="40"/>
      <w:ind w:left="720"/>
    </w:pPr>
  </w:style>
  <w:style w:type="character" w:styleId="CommentReference">
    <w:name w:val="annotation reference"/>
    <w:rsid w:val="0062095B"/>
    <w:rPr>
      <w:sz w:val="16"/>
      <w:szCs w:val="16"/>
    </w:rPr>
  </w:style>
  <w:style w:type="paragraph" w:styleId="CommentText">
    <w:name w:val="annotation text"/>
    <w:basedOn w:val="Normal"/>
    <w:link w:val="CommentTextChar"/>
    <w:rsid w:val="0062095B"/>
    <w:rPr>
      <w:sz w:val="20"/>
      <w:szCs w:val="20"/>
    </w:rPr>
  </w:style>
  <w:style w:type="character" w:customStyle="1" w:styleId="CommentTextChar">
    <w:name w:val="Comment Text Char"/>
    <w:basedOn w:val="DefaultParagraphFont"/>
    <w:link w:val="CommentText"/>
    <w:rsid w:val="0062095B"/>
  </w:style>
  <w:style w:type="paragraph" w:styleId="CommentSubject">
    <w:name w:val="annotation subject"/>
    <w:basedOn w:val="CommentText"/>
    <w:next w:val="CommentText"/>
    <w:link w:val="CommentSubjectChar"/>
    <w:rsid w:val="0062095B"/>
    <w:rPr>
      <w:b/>
      <w:bCs/>
    </w:rPr>
  </w:style>
  <w:style w:type="character" w:customStyle="1" w:styleId="CommentSubjectChar">
    <w:name w:val="Comment Subject Char"/>
    <w:link w:val="CommentSubject"/>
    <w:rsid w:val="0062095B"/>
    <w:rPr>
      <w:b/>
      <w:bCs/>
    </w:rPr>
  </w:style>
  <w:style w:type="paragraph" w:styleId="BalloonText">
    <w:name w:val="Balloon Text"/>
    <w:basedOn w:val="Normal"/>
    <w:link w:val="BalloonTextChar"/>
    <w:rsid w:val="0062095B"/>
    <w:rPr>
      <w:rFonts w:ascii="Segoe UI" w:hAnsi="Segoe UI" w:cs="Segoe UI"/>
      <w:sz w:val="18"/>
      <w:szCs w:val="18"/>
    </w:rPr>
  </w:style>
  <w:style w:type="character" w:customStyle="1" w:styleId="BalloonTextChar">
    <w:name w:val="Balloon Text Char"/>
    <w:link w:val="BalloonText"/>
    <w:rsid w:val="0062095B"/>
    <w:rPr>
      <w:rFonts w:ascii="Segoe UI" w:hAnsi="Segoe UI" w:cs="Segoe UI"/>
      <w:sz w:val="18"/>
      <w:szCs w:val="18"/>
    </w:rPr>
  </w:style>
  <w:style w:type="table" w:styleId="TableGrid">
    <w:name w:val="Table Grid"/>
    <w:basedOn w:val="TableNormal"/>
    <w:rsid w:val="005F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43060"/>
    <w:pPr>
      <w:spacing w:before="240" w:after="60"/>
      <w:outlineLvl w:val="0"/>
    </w:pPr>
    <w:rPr>
      <w:rFonts w:ascii="Lato Heavy" w:eastAsiaTheme="majorEastAsia" w:hAnsi="Lato Heavy" w:cstheme="majorBidi"/>
      <w:b/>
      <w:bCs/>
      <w:noProof/>
      <w:kern w:val="28"/>
      <w:sz w:val="36"/>
      <w:szCs w:val="32"/>
    </w:rPr>
  </w:style>
  <w:style w:type="character" w:customStyle="1" w:styleId="TitleChar">
    <w:name w:val="Title Char"/>
    <w:basedOn w:val="DefaultParagraphFont"/>
    <w:link w:val="Title"/>
    <w:rsid w:val="00D43060"/>
    <w:rPr>
      <w:rFonts w:ascii="Lato Heavy" w:eastAsiaTheme="majorEastAsia" w:hAnsi="Lato Heavy" w:cstheme="majorBidi"/>
      <w:b/>
      <w:bCs/>
      <w:noProof/>
      <w:kern w:val="28"/>
      <w:sz w:val="36"/>
      <w:szCs w:val="32"/>
    </w:rPr>
  </w:style>
  <w:style w:type="character" w:customStyle="1" w:styleId="Heading2Char">
    <w:name w:val="Heading 2 Char"/>
    <w:basedOn w:val="DefaultParagraphFont"/>
    <w:link w:val="Heading2"/>
    <w:rsid w:val="00D43060"/>
    <w:rPr>
      <w:rFonts w:ascii="LatoLatin Heavy" w:eastAsiaTheme="majorEastAsia" w:hAnsi="LatoLatin Heavy" w:cstheme="majorBidi"/>
      <w:bCs/>
      <w:iCs/>
      <w:sz w:val="28"/>
      <w:szCs w:val="28"/>
    </w:rPr>
  </w:style>
  <w:style w:type="character" w:styleId="Emphasis">
    <w:name w:val="Emphasis"/>
    <w:basedOn w:val="DefaultParagraphFont"/>
    <w:qFormat/>
    <w:rsid w:val="008B01D8"/>
    <w:rPr>
      <w:rFonts w:ascii="Lato" w:hAnsi="Lato"/>
      <w:i/>
      <w:iCs/>
      <w:sz w:val="22"/>
    </w:rPr>
  </w:style>
  <w:style w:type="character" w:customStyle="1" w:styleId="Heading3Char">
    <w:name w:val="Heading 3 Char"/>
    <w:basedOn w:val="DefaultParagraphFont"/>
    <w:link w:val="Heading3"/>
    <w:rsid w:val="008B01D8"/>
    <w:rPr>
      <w:rFonts w:ascii="Lato" w:hAnsi="Lato"/>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2B90-F3AA-4A67-9CD6-049EED45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VETERINARY BOARD OF THE NORTHERN TERRITORY</vt:lpstr>
    </vt:vector>
  </TitlesOfParts>
  <Company>CSC Australia</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BOARD OF THE NORTHERN TERRITORY</dc:title>
  <dc:subject/>
  <dc:creator>btm</dc:creator>
  <cp:keywords/>
  <dc:description/>
  <cp:lastModifiedBy>Vanessa Madrill</cp:lastModifiedBy>
  <cp:revision>2</cp:revision>
  <cp:lastPrinted>2020-08-13T01:09:00Z</cp:lastPrinted>
  <dcterms:created xsi:type="dcterms:W3CDTF">2020-08-13T01:11:00Z</dcterms:created>
  <dcterms:modified xsi:type="dcterms:W3CDTF">2020-08-13T01:11:00Z</dcterms:modified>
</cp:coreProperties>
</file>