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B2" w:rsidRPr="005C54B2" w:rsidRDefault="005C54B2" w:rsidP="005C54B2">
      <w:pPr>
        <w:pStyle w:val="Heading1"/>
        <w:rPr>
          <w:rStyle w:val="Emphasis"/>
        </w:rPr>
      </w:pPr>
    </w:p>
    <w:p w:rsidR="009A1806" w:rsidRPr="007E63BD" w:rsidRDefault="009A1806" w:rsidP="005C54B2">
      <w:pPr>
        <w:pStyle w:val="Heading1"/>
        <w:spacing w:before="0"/>
        <w:rPr>
          <w:b/>
        </w:rPr>
      </w:pPr>
      <w:r w:rsidRPr="007E63BD">
        <w:rPr>
          <w:b/>
        </w:rPr>
        <w:t>Preamble</w:t>
      </w:r>
    </w:p>
    <w:p w:rsidR="009A1806" w:rsidRPr="007E63BD" w:rsidRDefault="009A1806" w:rsidP="005C54B2">
      <w:pPr>
        <w:tabs>
          <w:tab w:val="left" w:pos="-720"/>
        </w:tabs>
        <w:suppressAutoHyphens/>
        <w:rPr>
          <w:rFonts w:cs="Arial"/>
          <w:spacing w:val="-3"/>
          <w:szCs w:val="22"/>
        </w:rPr>
      </w:pPr>
      <w:r w:rsidRPr="007E63BD">
        <w:rPr>
          <w:rFonts w:cs="Arial"/>
          <w:spacing w:val="-3"/>
          <w:szCs w:val="22"/>
        </w:rPr>
        <w:t>New graduates are the future of the veterinary profession. However, new graduates need to be supported in the early years of their professional career. They may not have sufficient surgical, medical or even communication skills to provide the level of service required today by clients.</w:t>
      </w:r>
    </w:p>
    <w:p w:rsidR="009A1806" w:rsidRPr="007E63BD" w:rsidRDefault="009A1806" w:rsidP="005C54B2">
      <w:pPr>
        <w:tabs>
          <w:tab w:val="left" w:pos="-720"/>
        </w:tabs>
        <w:suppressAutoHyphens/>
        <w:rPr>
          <w:rFonts w:cs="Arial"/>
          <w:spacing w:val="-3"/>
          <w:szCs w:val="22"/>
        </w:rPr>
      </w:pPr>
      <w:r w:rsidRPr="007E63BD">
        <w:rPr>
          <w:rFonts w:cs="Arial"/>
          <w:spacing w:val="-3"/>
          <w:szCs w:val="22"/>
        </w:rPr>
        <w:t>Employing a new graduate or an inexperienced veterinary surgeon carries responsibilities for the practice. (An example of an inexperienced veterinarian may be a veterinarian who has been exclusively employed in a small animal practice becoming employed in an equine practice).</w:t>
      </w:r>
    </w:p>
    <w:p w:rsidR="009A1806" w:rsidRPr="007E63BD" w:rsidRDefault="009A1806" w:rsidP="005C54B2">
      <w:pPr>
        <w:tabs>
          <w:tab w:val="left" w:pos="-720"/>
        </w:tabs>
        <w:suppressAutoHyphens/>
        <w:rPr>
          <w:rFonts w:cs="Arial"/>
          <w:spacing w:val="-3"/>
          <w:szCs w:val="22"/>
        </w:rPr>
      </w:pPr>
      <w:r w:rsidRPr="007E63BD">
        <w:rPr>
          <w:rFonts w:cs="Arial"/>
          <w:spacing w:val="-3"/>
          <w:szCs w:val="22"/>
        </w:rPr>
        <w:t xml:space="preserve">Employers should not employ an inexperienced veterinarian, or new graduates unless they are capable of, and willing to provide the required level of support. </w:t>
      </w:r>
    </w:p>
    <w:p w:rsidR="009A1806" w:rsidRPr="007E63BD" w:rsidRDefault="009A1806" w:rsidP="005C54B2">
      <w:pPr>
        <w:pStyle w:val="Heading1"/>
      </w:pPr>
      <w:r w:rsidRPr="007E63BD">
        <w:t>Employers</w:t>
      </w:r>
    </w:p>
    <w:p w:rsidR="009A1806" w:rsidRPr="007E63BD" w:rsidRDefault="009A1806" w:rsidP="005C54B2">
      <w:pPr>
        <w:tabs>
          <w:tab w:val="left" w:pos="-720"/>
        </w:tabs>
        <w:suppressAutoHyphens/>
        <w:rPr>
          <w:rFonts w:cs="Arial"/>
          <w:spacing w:val="-3"/>
          <w:szCs w:val="22"/>
        </w:rPr>
      </w:pPr>
      <w:r w:rsidRPr="007E63BD">
        <w:rPr>
          <w:rFonts w:cs="Arial"/>
          <w:spacing w:val="-3"/>
          <w:szCs w:val="22"/>
        </w:rPr>
        <w:t>Employers of new graduates and inexperienced veterinarians should ensure that as a minimum, they provide:</w:t>
      </w:r>
    </w:p>
    <w:p w:rsidR="009A1806" w:rsidRPr="007E63BD" w:rsidRDefault="009A1806" w:rsidP="005C54B2">
      <w:pPr>
        <w:numPr>
          <w:ilvl w:val="0"/>
          <w:numId w:val="14"/>
        </w:numPr>
        <w:tabs>
          <w:tab w:val="left" w:pos="-720"/>
        </w:tabs>
        <w:suppressAutoHyphens/>
        <w:spacing w:after="0"/>
        <w:rPr>
          <w:rFonts w:cs="Arial"/>
          <w:spacing w:val="-3"/>
          <w:szCs w:val="22"/>
        </w:rPr>
      </w:pPr>
      <w:r w:rsidRPr="007E63BD">
        <w:rPr>
          <w:rFonts w:cs="Arial"/>
          <w:spacing w:val="-3"/>
          <w:szCs w:val="22"/>
        </w:rPr>
        <w:t>Structured supervision</w:t>
      </w:r>
    </w:p>
    <w:p w:rsidR="009A1806" w:rsidRPr="007E63BD" w:rsidRDefault="009A1806" w:rsidP="005C54B2">
      <w:pPr>
        <w:numPr>
          <w:ilvl w:val="0"/>
          <w:numId w:val="14"/>
        </w:numPr>
        <w:tabs>
          <w:tab w:val="left" w:pos="-720"/>
        </w:tabs>
        <w:suppressAutoHyphens/>
        <w:spacing w:after="0"/>
        <w:rPr>
          <w:rFonts w:cs="Arial"/>
          <w:spacing w:val="-3"/>
          <w:szCs w:val="22"/>
        </w:rPr>
      </w:pPr>
      <w:r w:rsidRPr="007E63BD">
        <w:rPr>
          <w:rFonts w:cs="Arial"/>
          <w:spacing w:val="-3"/>
          <w:szCs w:val="22"/>
        </w:rPr>
        <w:t>Opportunities for skill enhancement and feedback</w:t>
      </w:r>
    </w:p>
    <w:p w:rsidR="009A1806" w:rsidRPr="007E63BD" w:rsidRDefault="009A1806" w:rsidP="005C54B2">
      <w:pPr>
        <w:numPr>
          <w:ilvl w:val="0"/>
          <w:numId w:val="14"/>
        </w:numPr>
        <w:tabs>
          <w:tab w:val="left" w:pos="-720"/>
        </w:tabs>
        <w:suppressAutoHyphens/>
        <w:spacing w:after="0"/>
        <w:rPr>
          <w:rFonts w:cs="Arial"/>
          <w:spacing w:val="-3"/>
          <w:szCs w:val="22"/>
        </w:rPr>
      </w:pPr>
      <w:r w:rsidRPr="007E63BD">
        <w:rPr>
          <w:rFonts w:cs="Arial"/>
          <w:spacing w:val="-3"/>
          <w:szCs w:val="22"/>
        </w:rPr>
        <w:t>Reasonable rostered hours of practice</w:t>
      </w:r>
    </w:p>
    <w:p w:rsidR="009A1806" w:rsidRPr="007E63BD" w:rsidRDefault="009A1806" w:rsidP="005C54B2">
      <w:pPr>
        <w:numPr>
          <w:ilvl w:val="0"/>
          <w:numId w:val="14"/>
        </w:numPr>
        <w:tabs>
          <w:tab w:val="left" w:pos="-720"/>
        </w:tabs>
        <w:suppressAutoHyphens/>
        <w:spacing w:after="0"/>
        <w:rPr>
          <w:rFonts w:cs="Arial"/>
          <w:spacing w:val="-3"/>
          <w:szCs w:val="22"/>
        </w:rPr>
      </w:pPr>
      <w:r w:rsidRPr="007E63BD">
        <w:rPr>
          <w:rFonts w:cs="Arial"/>
          <w:spacing w:val="-3"/>
          <w:szCs w:val="22"/>
        </w:rPr>
        <w:t>Encourage integration with members of the practice and the profession</w:t>
      </w:r>
    </w:p>
    <w:p w:rsidR="009A1806" w:rsidRPr="007E63BD" w:rsidRDefault="009A1806" w:rsidP="005C54B2">
      <w:pPr>
        <w:pStyle w:val="Heading1"/>
      </w:pPr>
      <w:r w:rsidRPr="007E63BD">
        <w:t>Supervision</w:t>
      </w:r>
    </w:p>
    <w:p w:rsidR="009A1806" w:rsidRPr="007E63BD" w:rsidRDefault="009A1806" w:rsidP="005C54B2">
      <w:r w:rsidRPr="007E63BD">
        <w:t>Employers have an obligation to supervise the new graduate or inexperienced veterinarians until they have demonstrated a level of skill equivalent to that expected of a reasonably skilled and experienced veterinarian. The employer, or a senior veterinary practitioner with at least 5 years’ experience, should be available for direct assistance (on the premises) or by call-back. If this is not possible, a second level of support should be organised. This could be by means of access to alternative back-up, such as a senior veterinary surgeon at the neighbouring practice.</w:t>
      </w:r>
    </w:p>
    <w:p w:rsidR="009A1806" w:rsidRPr="007E63BD" w:rsidRDefault="009A1806" w:rsidP="005C54B2">
      <w:pPr>
        <w:tabs>
          <w:tab w:val="left" w:pos="-720"/>
        </w:tabs>
        <w:suppressAutoHyphens/>
        <w:spacing w:after="0"/>
        <w:rPr>
          <w:rFonts w:cs="Arial"/>
          <w:spacing w:val="-3"/>
          <w:szCs w:val="22"/>
        </w:rPr>
      </w:pPr>
      <w:r w:rsidRPr="007E63BD">
        <w:rPr>
          <w:rFonts w:cs="Arial"/>
          <w:spacing w:val="-3"/>
          <w:szCs w:val="22"/>
        </w:rPr>
        <w:t>The degree of supervision over the new graduate’s first year will vary with the graduate, and practices should aim to build the new graduate’s confidence to enable them to increasingly make their own decisions and perform procedures.</w:t>
      </w:r>
    </w:p>
    <w:p w:rsidR="009A1806" w:rsidRPr="007E63BD" w:rsidRDefault="009A1806" w:rsidP="005C54B2">
      <w:pPr>
        <w:pStyle w:val="Heading1"/>
      </w:pPr>
      <w:r w:rsidRPr="007E63BD">
        <w:t>Skill Enhancement and Feedback</w:t>
      </w:r>
    </w:p>
    <w:p w:rsidR="009A1806" w:rsidRPr="007E63BD" w:rsidRDefault="009A1806" w:rsidP="005C54B2">
      <w:pPr>
        <w:tabs>
          <w:tab w:val="left" w:pos="-720"/>
        </w:tabs>
        <w:suppressAutoHyphens/>
        <w:rPr>
          <w:rFonts w:cs="Arial"/>
          <w:spacing w:val="-3"/>
          <w:szCs w:val="22"/>
        </w:rPr>
      </w:pPr>
      <w:r w:rsidRPr="007E63BD">
        <w:rPr>
          <w:rFonts w:cs="Arial"/>
          <w:spacing w:val="-3"/>
          <w:szCs w:val="22"/>
        </w:rPr>
        <w:t>The employer should ensure the new graduate has access to skill enhancement sessions with a senior veterinary practitioner at regular intervals. This could be through:</w:t>
      </w:r>
    </w:p>
    <w:p w:rsidR="009A1806" w:rsidRPr="007E63BD" w:rsidRDefault="009A1806" w:rsidP="005C54B2">
      <w:pPr>
        <w:numPr>
          <w:ilvl w:val="0"/>
          <w:numId w:val="15"/>
        </w:numPr>
        <w:tabs>
          <w:tab w:val="left" w:pos="-720"/>
        </w:tabs>
        <w:suppressAutoHyphens/>
        <w:spacing w:after="0"/>
        <w:rPr>
          <w:rFonts w:cs="Arial"/>
          <w:spacing w:val="-3"/>
          <w:szCs w:val="22"/>
        </w:rPr>
      </w:pPr>
      <w:r w:rsidRPr="007E63BD">
        <w:rPr>
          <w:rFonts w:cs="Arial"/>
          <w:spacing w:val="-3"/>
          <w:szCs w:val="22"/>
        </w:rPr>
        <w:t>Discussion of case studies with other veterinarians in the practice</w:t>
      </w:r>
    </w:p>
    <w:p w:rsidR="009A1806" w:rsidRPr="007E63BD" w:rsidRDefault="009A1806" w:rsidP="005C54B2">
      <w:pPr>
        <w:numPr>
          <w:ilvl w:val="0"/>
          <w:numId w:val="15"/>
        </w:numPr>
        <w:tabs>
          <w:tab w:val="left" w:pos="-720"/>
        </w:tabs>
        <w:suppressAutoHyphens/>
        <w:spacing w:after="0"/>
        <w:rPr>
          <w:rFonts w:cs="Arial"/>
          <w:spacing w:val="-3"/>
          <w:szCs w:val="22"/>
        </w:rPr>
      </w:pPr>
      <w:r w:rsidRPr="007E63BD">
        <w:rPr>
          <w:rFonts w:cs="Arial"/>
          <w:spacing w:val="-3"/>
          <w:szCs w:val="22"/>
        </w:rPr>
        <w:t>Regular review with others in the practice of a selected number of cases handled by the new graduate – the review and feedback process should be conducted in a supportive environment</w:t>
      </w:r>
    </w:p>
    <w:p w:rsidR="009A1806" w:rsidRPr="007E63BD" w:rsidRDefault="009A1806" w:rsidP="005C54B2">
      <w:pPr>
        <w:numPr>
          <w:ilvl w:val="0"/>
          <w:numId w:val="15"/>
        </w:numPr>
        <w:tabs>
          <w:tab w:val="left" w:pos="-720"/>
        </w:tabs>
        <w:suppressAutoHyphens/>
        <w:rPr>
          <w:rFonts w:cs="Arial"/>
          <w:spacing w:val="-3"/>
          <w:szCs w:val="22"/>
        </w:rPr>
      </w:pPr>
      <w:r w:rsidRPr="007E63BD">
        <w:rPr>
          <w:rFonts w:cs="Arial"/>
          <w:spacing w:val="-3"/>
          <w:szCs w:val="22"/>
        </w:rPr>
        <w:t>Access to learning resources for current cases for new graduates.</w:t>
      </w:r>
    </w:p>
    <w:p w:rsidR="009A1806" w:rsidRPr="007E63BD" w:rsidRDefault="009A1806" w:rsidP="005C54B2">
      <w:r w:rsidRPr="007E63BD">
        <w:t>Skill enhancement includes general communication skills as well as medical and surgical records.</w:t>
      </w:r>
    </w:p>
    <w:p w:rsidR="009A1806" w:rsidRPr="007E63BD" w:rsidRDefault="009A1806" w:rsidP="005C54B2">
      <w:pPr>
        <w:pStyle w:val="Heading1"/>
      </w:pPr>
      <w:r w:rsidRPr="007E63BD">
        <w:t>Reasonable Practice Hours</w:t>
      </w:r>
    </w:p>
    <w:p w:rsidR="009A1806" w:rsidRPr="007E63BD" w:rsidRDefault="009A1806" w:rsidP="005C54B2">
      <w:pPr>
        <w:tabs>
          <w:tab w:val="left" w:pos="-720"/>
        </w:tabs>
        <w:suppressAutoHyphens/>
        <w:rPr>
          <w:rFonts w:cs="Arial"/>
          <w:spacing w:val="-3"/>
          <w:szCs w:val="22"/>
        </w:rPr>
      </w:pPr>
      <w:r w:rsidRPr="007E63BD">
        <w:rPr>
          <w:rFonts w:cs="Arial"/>
          <w:spacing w:val="-3"/>
          <w:szCs w:val="22"/>
        </w:rPr>
        <w:t xml:space="preserve">The new graduate should not be required to attend after hour’s calls without adequate support for their first 6-12 months of practice. </w:t>
      </w:r>
    </w:p>
    <w:p w:rsidR="009A1806" w:rsidRPr="007E63BD" w:rsidRDefault="009A1806" w:rsidP="005C54B2">
      <w:pPr>
        <w:tabs>
          <w:tab w:val="left" w:pos="-720"/>
        </w:tabs>
        <w:suppressAutoHyphens/>
        <w:rPr>
          <w:rFonts w:cs="Arial"/>
          <w:spacing w:val="-3"/>
          <w:szCs w:val="22"/>
        </w:rPr>
      </w:pPr>
      <w:r w:rsidRPr="007E63BD">
        <w:rPr>
          <w:rFonts w:cs="Arial"/>
          <w:spacing w:val="-3"/>
          <w:szCs w:val="22"/>
        </w:rPr>
        <w:t>The new graduate should not disproportionately bear the burden of after-hours duty.</w:t>
      </w:r>
    </w:p>
    <w:p w:rsidR="009A1806" w:rsidRPr="007E63BD" w:rsidRDefault="009A1806" w:rsidP="005C54B2">
      <w:pPr>
        <w:tabs>
          <w:tab w:val="left" w:pos="-720"/>
        </w:tabs>
        <w:suppressAutoHyphens/>
        <w:rPr>
          <w:rFonts w:cs="Arial"/>
          <w:spacing w:val="-3"/>
          <w:szCs w:val="22"/>
        </w:rPr>
      </w:pPr>
      <w:r w:rsidRPr="007E63BD">
        <w:rPr>
          <w:rFonts w:cs="Arial"/>
          <w:spacing w:val="-3"/>
          <w:szCs w:val="22"/>
        </w:rPr>
        <w:lastRenderedPageBreak/>
        <w:t>In rural practices, work may be seasonal and this may require additional commitment from all members of the practice in peak periods.</w:t>
      </w:r>
    </w:p>
    <w:p w:rsidR="009A1806" w:rsidRPr="007E63BD" w:rsidRDefault="009A1806" w:rsidP="005C54B2">
      <w:pPr>
        <w:pStyle w:val="Heading1"/>
      </w:pPr>
      <w:r w:rsidRPr="007E63BD">
        <w:t>Integration with all Staff and the Profession</w:t>
      </w:r>
    </w:p>
    <w:p w:rsidR="009A1806" w:rsidRPr="007E63BD" w:rsidRDefault="009A1806" w:rsidP="005C54B2">
      <w:pPr>
        <w:tabs>
          <w:tab w:val="left" w:pos="-720"/>
        </w:tabs>
        <w:suppressAutoHyphens/>
        <w:rPr>
          <w:rFonts w:cs="Arial"/>
          <w:spacing w:val="-3"/>
          <w:szCs w:val="22"/>
        </w:rPr>
      </w:pPr>
      <w:r w:rsidRPr="007E63BD">
        <w:rPr>
          <w:rFonts w:cs="Arial"/>
          <w:spacing w:val="-3"/>
          <w:szCs w:val="22"/>
        </w:rPr>
        <w:t>A formal introduction of new employees into the practice is highly recommended. Regular staff or practice meetings involving all staff or practice meetings involving all members of the practice are important. The new graduate should be included and encouraged to impart their recently acquired knowledge to discussions on recent cases and practice policies.</w:t>
      </w:r>
    </w:p>
    <w:p w:rsidR="009A1806" w:rsidRPr="007E63BD" w:rsidRDefault="009A1806" w:rsidP="005C54B2">
      <w:pPr>
        <w:tabs>
          <w:tab w:val="left" w:pos="-720"/>
        </w:tabs>
        <w:suppressAutoHyphens/>
        <w:rPr>
          <w:rFonts w:cs="Arial"/>
          <w:spacing w:val="-3"/>
          <w:szCs w:val="22"/>
        </w:rPr>
      </w:pPr>
      <w:r w:rsidRPr="007E63BD">
        <w:rPr>
          <w:rFonts w:cs="Arial"/>
          <w:spacing w:val="-3"/>
          <w:szCs w:val="22"/>
        </w:rPr>
        <w:t>In rural areas, the employer or senior veterinarian should introduce the new graduate to clients when visiting properties where practicable.</w:t>
      </w:r>
    </w:p>
    <w:p w:rsidR="009A1806" w:rsidRPr="007E63BD" w:rsidRDefault="009A1806" w:rsidP="005C54B2">
      <w:pPr>
        <w:tabs>
          <w:tab w:val="left" w:pos="-720"/>
        </w:tabs>
        <w:suppressAutoHyphens/>
        <w:rPr>
          <w:rFonts w:cs="Arial"/>
          <w:spacing w:val="-3"/>
          <w:szCs w:val="22"/>
        </w:rPr>
      </w:pPr>
      <w:r w:rsidRPr="007E63BD">
        <w:rPr>
          <w:rFonts w:cs="Arial"/>
          <w:spacing w:val="-3"/>
          <w:szCs w:val="22"/>
        </w:rPr>
        <w:t xml:space="preserve">New graduates should be encouraged to attend professional meetings, including seminars, conferences etc. </w:t>
      </w:r>
    </w:p>
    <w:p w:rsidR="009A1806" w:rsidRPr="007E63BD" w:rsidRDefault="009A1806" w:rsidP="005C54B2">
      <w:pPr>
        <w:pStyle w:val="Heading1"/>
      </w:pPr>
      <w:r w:rsidRPr="007E63BD">
        <w:t>Employees</w:t>
      </w:r>
    </w:p>
    <w:p w:rsidR="009A1806" w:rsidRPr="007E63BD" w:rsidRDefault="009A1806" w:rsidP="005C54B2">
      <w:r w:rsidRPr="007E63BD">
        <w:t>New graduates and inexperienced veterinarians should seek assistance from within the practice whenever they find themselves at the limit of their own experience or knowledge. They have a responsibility to continue their professional education in all aspects of veterinary practice including communications.</w:t>
      </w:r>
    </w:p>
    <w:p w:rsidR="009A1806" w:rsidRPr="007E63BD" w:rsidRDefault="009A1806" w:rsidP="005C54B2">
      <w:pPr>
        <w:pStyle w:val="Heading1"/>
      </w:pPr>
      <w:r w:rsidRPr="007E63BD">
        <w:t>Conclusion</w:t>
      </w:r>
    </w:p>
    <w:p w:rsidR="009A1806" w:rsidRPr="007E63BD" w:rsidRDefault="009A1806" w:rsidP="005C54B2">
      <w:r w:rsidRPr="007E63BD">
        <w:t>Employers should recognise that they have an obligation to provide support, guidance and assistance to new graduates and to inexperienced veterinarians. This will inevitably result in a higher standard of veterinary service, improved client relations, and the enhanced standing of the profession. Employers should not employ an inexperienced veterinarian or new graduate unless they have the capacity and are willing to provide the level of support required.</w:t>
      </w:r>
    </w:p>
    <w:tbl>
      <w:tblPr>
        <w:tblW w:w="2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663"/>
      </w:tblGrid>
      <w:tr w:rsidR="005F44C1" w:rsidRPr="007E63BD" w:rsidTr="005C54B2">
        <w:trPr>
          <w:trHeight w:val="12"/>
        </w:trPr>
        <w:tc>
          <w:tcPr>
            <w:tcW w:w="2312" w:type="dxa"/>
            <w:shd w:val="clear" w:color="auto" w:fill="auto"/>
          </w:tcPr>
          <w:p w:rsidR="005F44C1" w:rsidRPr="007E63BD" w:rsidRDefault="005F44C1" w:rsidP="005C54B2">
            <w:pPr>
              <w:spacing w:after="0"/>
              <w:rPr>
                <w:szCs w:val="22"/>
              </w:rPr>
            </w:pPr>
            <w:r w:rsidRPr="007E63BD">
              <w:rPr>
                <w:szCs w:val="22"/>
              </w:rPr>
              <w:t>Version Control</w:t>
            </w:r>
          </w:p>
        </w:tc>
        <w:tc>
          <w:tcPr>
            <w:tcW w:w="2663" w:type="dxa"/>
            <w:shd w:val="clear" w:color="auto" w:fill="auto"/>
          </w:tcPr>
          <w:p w:rsidR="005F44C1" w:rsidRPr="007E63BD" w:rsidRDefault="009A1806" w:rsidP="005C54B2">
            <w:pPr>
              <w:spacing w:after="0"/>
              <w:rPr>
                <w:szCs w:val="22"/>
              </w:rPr>
            </w:pPr>
            <w:r w:rsidRPr="007E63BD">
              <w:rPr>
                <w:szCs w:val="22"/>
              </w:rPr>
              <w:t>V1</w:t>
            </w:r>
          </w:p>
        </w:tc>
      </w:tr>
      <w:tr w:rsidR="005F44C1" w:rsidRPr="007E63BD" w:rsidTr="005C54B2">
        <w:trPr>
          <w:trHeight w:val="12"/>
        </w:trPr>
        <w:tc>
          <w:tcPr>
            <w:tcW w:w="2312" w:type="dxa"/>
            <w:shd w:val="clear" w:color="auto" w:fill="auto"/>
          </w:tcPr>
          <w:p w:rsidR="005F44C1" w:rsidRPr="007E63BD" w:rsidRDefault="005F44C1" w:rsidP="005C54B2">
            <w:pPr>
              <w:spacing w:after="0"/>
              <w:rPr>
                <w:szCs w:val="22"/>
              </w:rPr>
            </w:pPr>
            <w:r w:rsidRPr="007E63BD">
              <w:rPr>
                <w:szCs w:val="22"/>
              </w:rPr>
              <w:t>Approved By</w:t>
            </w:r>
          </w:p>
        </w:tc>
        <w:tc>
          <w:tcPr>
            <w:tcW w:w="2663" w:type="dxa"/>
            <w:shd w:val="clear" w:color="auto" w:fill="auto"/>
          </w:tcPr>
          <w:p w:rsidR="005F44C1" w:rsidRPr="007E63BD" w:rsidRDefault="009A1806" w:rsidP="005C54B2">
            <w:pPr>
              <w:spacing w:after="0"/>
              <w:rPr>
                <w:szCs w:val="22"/>
              </w:rPr>
            </w:pPr>
            <w:r w:rsidRPr="007E63BD">
              <w:rPr>
                <w:szCs w:val="22"/>
              </w:rPr>
              <w:t>Veterinary Board</w:t>
            </w:r>
          </w:p>
        </w:tc>
      </w:tr>
      <w:tr w:rsidR="005F44C1" w:rsidRPr="007E63BD" w:rsidTr="005C54B2">
        <w:trPr>
          <w:trHeight w:val="12"/>
        </w:trPr>
        <w:tc>
          <w:tcPr>
            <w:tcW w:w="2312" w:type="dxa"/>
            <w:shd w:val="clear" w:color="auto" w:fill="auto"/>
          </w:tcPr>
          <w:p w:rsidR="005F44C1" w:rsidRPr="007E63BD" w:rsidRDefault="005F44C1" w:rsidP="005C54B2">
            <w:pPr>
              <w:spacing w:after="0"/>
              <w:rPr>
                <w:szCs w:val="22"/>
              </w:rPr>
            </w:pPr>
            <w:r w:rsidRPr="007E63BD">
              <w:rPr>
                <w:szCs w:val="22"/>
              </w:rPr>
              <w:t>Last Reviewed</w:t>
            </w:r>
          </w:p>
        </w:tc>
        <w:tc>
          <w:tcPr>
            <w:tcW w:w="2663" w:type="dxa"/>
            <w:shd w:val="clear" w:color="auto" w:fill="auto"/>
          </w:tcPr>
          <w:p w:rsidR="005F44C1" w:rsidRPr="007E63BD" w:rsidRDefault="000F219E" w:rsidP="005C54B2">
            <w:pPr>
              <w:spacing w:after="0"/>
              <w:rPr>
                <w:szCs w:val="22"/>
              </w:rPr>
            </w:pPr>
            <w:r w:rsidRPr="007E63BD">
              <w:rPr>
                <w:szCs w:val="22"/>
              </w:rPr>
              <w:t>July 2020</w:t>
            </w:r>
          </w:p>
        </w:tc>
      </w:tr>
      <w:tr w:rsidR="005F44C1" w:rsidRPr="007E63BD" w:rsidTr="005C54B2">
        <w:trPr>
          <w:trHeight w:val="12"/>
        </w:trPr>
        <w:tc>
          <w:tcPr>
            <w:tcW w:w="2312" w:type="dxa"/>
            <w:shd w:val="clear" w:color="auto" w:fill="auto"/>
          </w:tcPr>
          <w:p w:rsidR="005F44C1" w:rsidRPr="007E63BD" w:rsidRDefault="005F44C1" w:rsidP="005C54B2">
            <w:pPr>
              <w:spacing w:after="0"/>
              <w:rPr>
                <w:szCs w:val="22"/>
              </w:rPr>
            </w:pPr>
            <w:r w:rsidRPr="007E63BD">
              <w:rPr>
                <w:szCs w:val="22"/>
              </w:rPr>
              <w:t>Next Review</w:t>
            </w:r>
            <w:r w:rsidR="003951CB" w:rsidRPr="007E63BD">
              <w:rPr>
                <w:szCs w:val="22"/>
              </w:rPr>
              <w:t xml:space="preserve"> Date</w:t>
            </w:r>
          </w:p>
        </w:tc>
        <w:tc>
          <w:tcPr>
            <w:tcW w:w="2663" w:type="dxa"/>
            <w:shd w:val="clear" w:color="auto" w:fill="auto"/>
          </w:tcPr>
          <w:p w:rsidR="005F44C1" w:rsidRPr="007E63BD" w:rsidRDefault="000F219E" w:rsidP="005C54B2">
            <w:pPr>
              <w:spacing w:after="0"/>
              <w:rPr>
                <w:szCs w:val="22"/>
              </w:rPr>
            </w:pPr>
            <w:r w:rsidRPr="007E63BD">
              <w:rPr>
                <w:szCs w:val="22"/>
              </w:rPr>
              <w:t>July 2023</w:t>
            </w:r>
          </w:p>
        </w:tc>
      </w:tr>
    </w:tbl>
    <w:p w:rsidR="00737244" w:rsidRPr="00287455" w:rsidRDefault="00737244" w:rsidP="005C54B2">
      <w:pPr>
        <w:tabs>
          <w:tab w:val="left" w:pos="7005"/>
        </w:tabs>
        <w:rPr>
          <w:lang w:val="en-US"/>
        </w:rPr>
      </w:pPr>
    </w:p>
    <w:sectPr w:rsidR="00737244" w:rsidRPr="00287455" w:rsidSect="005C54B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22" w:rsidRDefault="00962922" w:rsidP="00FF4C70">
      <w:r>
        <w:separator/>
      </w:r>
    </w:p>
    <w:p w:rsidR="00962922" w:rsidRDefault="00962922" w:rsidP="00FF4C70"/>
  </w:endnote>
  <w:endnote w:type="continuationSeparator" w:id="0">
    <w:p w:rsidR="00962922" w:rsidRDefault="00962922" w:rsidP="00FF4C70">
      <w:r>
        <w:continuationSeparator/>
      </w:r>
    </w:p>
    <w:p w:rsidR="00962922" w:rsidRDefault="00962922" w:rsidP="00FF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LatoLatin Heavy">
    <w:panose1 w:val="020F0502020204030203"/>
    <w:charset w:val="00"/>
    <w:family w:val="swiss"/>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29" w:rsidRDefault="004A0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Pr="005C54B2" w:rsidRDefault="005C54B2" w:rsidP="005C54B2">
    <w:pPr>
      <w:pStyle w:val="Footer"/>
      <w:tabs>
        <w:tab w:val="clear" w:pos="8306"/>
        <w:tab w:val="right" w:pos="10466"/>
      </w:tabs>
    </w:pPr>
    <w:r w:rsidRPr="00A90497">
      <w:t xml:space="preserve">Veterinary Board of the Northern Territory </w:t>
    </w:r>
    <w:r>
      <w:tab/>
      <w:t xml:space="preserve">Page </w:t>
    </w:r>
    <w:r>
      <w:rPr>
        <w:b/>
        <w:bCs/>
      </w:rPr>
      <w:fldChar w:fldCharType="begin"/>
    </w:r>
    <w:r>
      <w:rPr>
        <w:b/>
        <w:bCs/>
      </w:rPr>
      <w:instrText xml:space="preserve"> PAGE  \* Arabic  \* MERGEFORMAT </w:instrText>
    </w:r>
    <w:r>
      <w:rPr>
        <w:b/>
        <w:bCs/>
      </w:rPr>
      <w:fldChar w:fldCharType="separate"/>
    </w:r>
    <w:r w:rsidR="007242EB">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242EB">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4B2" w:rsidRDefault="005C54B2" w:rsidP="005C54B2">
    <w:pPr>
      <w:pStyle w:val="Footer"/>
      <w:tabs>
        <w:tab w:val="clear" w:pos="8306"/>
        <w:tab w:val="right" w:pos="10466"/>
      </w:tabs>
    </w:pPr>
  </w:p>
  <w:p w:rsidR="004B218A" w:rsidRDefault="00A90497" w:rsidP="005C54B2">
    <w:pPr>
      <w:pStyle w:val="Footer"/>
      <w:tabs>
        <w:tab w:val="clear" w:pos="8306"/>
        <w:tab w:val="right" w:pos="10466"/>
      </w:tabs>
    </w:pPr>
    <w:r w:rsidRPr="00A90497">
      <w:t xml:space="preserve">Veterinary Board of the Northern Territory </w:t>
    </w:r>
    <w:r>
      <w:tab/>
    </w:r>
    <w:r w:rsidR="005C54B2">
      <w:t xml:space="preserve">Page </w:t>
    </w:r>
    <w:r w:rsidR="005C54B2">
      <w:rPr>
        <w:b/>
        <w:bCs/>
      </w:rPr>
      <w:fldChar w:fldCharType="begin"/>
    </w:r>
    <w:r w:rsidR="005C54B2">
      <w:rPr>
        <w:b/>
        <w:bCs/>
      </w:rPr>
      <w:instrText xml:space="preserve"> PAGE  \* Arabic  \* MERGEFORMAT </w:instrText>
    </w:r>
    <w:r w:rsidR="005C54B2">
      <w:rPr>
        <w:b/>
        <w:bCs/>
      </w:rPr>
      <w:fldChar w:fldCharType="separate"/>
    </w:r>
    <w:r w:rsidR="007242EB">
      <w:rPr>
        <w:b/>
        <w:bCs/>
        <w:noProof/>
      </w:rPr>
      <w:t>1</w:t>
    </w:r>
    <w:r w:rsidR="005C54B2">
      <w:rPr>
        <w:b/>
        <w:bCs/>
      </w:rPr>
      <w:fldChar w:fldCharType="end"/>
    </w:r>
    <w:r w:rsidR="005C54B2">
      <w:t xml:space="preserve"> of </w:t>
    </w:r>
    <w:r w:rsidR="005C54B2">
      <w:rPr>
        <w:b/>
        <w:bCs/>
      </w:rPr>
      <w:fldChar w:fldCharType="begin"/>
    </w:r>
    <w:r w:rsidR="005C54B2">
      <w:rPr>
        <w:b/>
        <w:bCs/>
      </w:rPr>
      <w:instrText xml:space="preserve"> NUMPAGES  \* Arabic  \* MERGEFORMAT </w:instrText>
    </w:r>
    <w:r w:rsidR="005C54B2">
      <w:rPr>
        <w:b/>
        <w:bCs/>
      </w:rPr>
      <w:fldChar w:fldCharType="separate"/>
    </w:r>
    <w:r w:rsidR="007242EB">
      <w:rPr>
        <w:b/>
        <w:bCs/>
        <w:noProof/>
      </w:rPr>
      <w:t>2</w:t>
    </w:r>
    <w:r w:rsidR="005C54B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22" w:rsidRDefault="00962922" w:rsidP="00FF4C70">
      <w:r>
        <w:separator/>
      </w:r>
    </w:p>
    <w:p w:rsidR="00962922" w:rsidRDefault="00962922" w:rsidP="00FF4C70"/>
  </w:footnote>
  <w:footnote w:type="continuationSeparator" w:id="0">
    <w:p w:rsidR="00962922" w:rsidRDefault="00962922" w:rsidP="00FF4C70">
      <w:r>
        <w:continuationSeparator/>
      </w:r>
    </w:p>
    <w:p w:rsidR="00962922" w:rsidRDefault="00962922" w:rsidP="00FF4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90" w:rsidRDefault="003E1690" w:rsidP="00FF4C70">
    <w:pPr>
      <w:pStyle w:val="Header"/>
    </w:pPr>
  </w:p>
  <w:p w:rsidR="004B218A" w:rsidRDefault="004B218A" w:rsidP="00FF4C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70" w:rsidRDefault="00FF4C70" w:rsidP="00FF4C70">
    <w:pPr>
      <w:jc w:val="right"/>
    </w:pPr>
  </w:p>
  <w:p w:rsidR="00D43060" w:rsidRPr="00D43060" w:rsidRDefault="007E63BD" w:rsidP="00FF4C70">
    <w:pPr>
      <w:jc w:val="right"/>
    </w:pPr>
    <w:r>
      <w:t>Employing New Graduates and Inexperienced Veterinarians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8B01D8">
    <w:pPr>
      <w:pStyle w:val="Title"/>
    </w:pPr>
    <w:bookmarkStart w:id="0" w:name="_GoBack"/>
    <w:r w:rsidRPr="00F86CE7">
      <w:drawing>
        <wp:anchor distT="0" distB="0" distL="114300" distR="114300" simplePos="0" relativeHeight="251659264" behindDoc="0" locked="0" layoutInCell="1" allowOverlap="1">
          <wp:simplePos x="0" y="0"/>
          <wp:positionH relativeFrom="column">
            <wp:posOffset>0</wp:posOffset>
          </wp:positionH>
          <wp:positionV relativeFrom="paragraph">
            <wp:posOffset>-27709</wp:posOffset>
          </wp:positionV>
          <wp:extent cx="957580" cy="914400"/>
          <wp:effectExtent l="0" t="0" r="0" b="0"/>
          <wp:wrapSquare wrapText="bothSides"/>
          <wp:docPr id="158" name="Picture 158" descr="DPIR Ve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PIF Vet Board Logo (2)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14400"/>
                  </a:xfrm>
                  <a:prstGeom prst="rect">
                    <a:avLst/>
                  </a:prstGeom>
                  <a:noFill/>
                  <a:ln>
                    <a:noFill/>
                  </a:ln>
                </pic:spPr>
              </pic:pic>
            </a:graphicData>
          </a:graphic>
        </wp:anchor>
      </w:drawing>
    </w:r>
    <w:r w:rsidR="004A0629">
      <w:t>G</w:t>
    </w:r>
    <w:r w:rsidR="004A0629" w:rsidRPr="00D43060">
      <w:t xml:space="preserve">uideline </w:t>
    </w:r>
    <w:r w:rsidR="004A0629">
      <w:t>for the employment of new graduates and inexperienced veterinarians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BE1"/>
    <w:multiLevelType w:val="multilevel"/>
    <w:tmpl w:val="B8040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AD2152"/>
    <w:multiLevelType w:val="hybridMultilevel"/>
    <w:tmpl w:val="E482E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470DC8"/>
    <w:multiLevelType w:val="hybridMultilevel"/>
    <w:tmpl w:val="E2D0C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502C3"/>
    <w:multiLevelType w:val="hybridMultilevel"/>
    <w:tmpl w:val="47B4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E63CD"/>
    <w:multiLevelType w:val="hybridMultilevel"/>
    <w:tmpl w:val="E176F1D4"/>
    <w:lvl w:ilvl="0" w:tplc="03563764">
      <w:numFmt w:val="bullet"/>
      <w:lvlText w:val=""/>
      <w:lvlJc w:val="left"/>
      <w:pPr>
        <w:ind w:left="786" w:hanging="567"/>
      </w:pPr>
      <w:rPr>
        <w:rFonts w:ascii="Symbol" w:eastAsia="Symbol" w:hAnsi="Symbol" w:cs="Symbol" w:hint="default"/>
        <w:w w:val="100"/>
        <w:sz w:val="24"/>
        <w:szCs w:val="24"/>
        <w:lang w:val="en-AU" w:eastAsia="en-AU" w:bidi="en-AU"/>
      </w:rPr>
    </w:lvl>
    <w:lvl w:ilvl="1" w:tplc="581EEABC">
      <w:numFmt w:val="bullet"/>
      <w:lvlText w:val="•"/>
      <w:lvlJc w:val="left"/>
      <w:pPr>
        <w:ind w:left="1614" w:hanging="567"/>
      </w:pPr>
      <w:rPr>
        <w:lang w:val="en-AU" w:eastAsia="en-AU" w:bidi="en-AU"/>
      </w:rPr>
    </w:lvl>
    <w:lvl w:ilvl="2" w:tplc="B8D2E818">
      <w:numFmt w:val="bullet"/>
      <w:lvlText w:val="•"/>
      <w:lvlJc w:val="left"/>
      <w:pPr>
        <w:ind w:left="2449" w:hanging="567"/>
      </w:pPr>
      <w:rPr>
        <w:lang w:val="en-AU" w:eastAsia="en-AU" w:bidi="en-AU"/>
      </w:rPr>
    </w:lvl>
    <w:lvl w:ilvl="3" w:tplc="A1A83B98">
      <w:numFmt w:val="bullet"/>
      <w:lvlText w:val="•"/>
      <w:lvlJc w:val="left"/>
      <w:pPr>
        <w:ind w:left="3283" w:hanging="567"/>
      </w:pPr>
      <w:rPr>
        <w:lang w:val="en-AU" w:eastAsia="en-AU" w:bidi="en-AU"/>
      </w:rPr>
    </w:lvl>
    <w:lvl w:ilvl="4" w:tplc="9412F8B2">
      <w:numFmt w:val="bullet"/>
      <w:lvlText w:val="•"/>
      <w:lvlJc w:val="left"/>
      <w:pPr>
        <w:ind w:left="4118" w:hanging="567"/>
      </w:pPr>
      <w:rPr>
        <w:lang w:val="en-AU" w:eastAsia="en-AU" w:bidi="en-AU"/>
      </w:rPr>
    </w:lvl>
    <w:lvl w:ilvl="5" w:tplc="53F69D92">
      <w:numFmt w:val="bullet"/>
      <w:lvlText w:val="•"/>
      <w:lvlJc w:val="left"/>
      <w:pPr>
        <w:ind w:left="4953" w:hanging="567"/>
      </w:pPr>
      <w:rPr>
        <w:lang w:val="en-AU" w:eastAsia="en-AU" w:bidi="en-AU"/>
      </w:rPr>
    </w:lvl>
    <w:lvl w:ilvl="6" w:tplc="9894CDF4">
      <w:numFmt w:val="bullet"/>
      <w:lvlText w:val="•"/>
      <w:lvlJc w:val="left"/>
      <w:pPr>
        <w:ind w:left="5787" w:hanging="567"/>
      </w:pPr>
      <w:rPr>
        <w:lang w:val="en-AU" w:eastAsia="en-AU" w:bidi="en-AU"/>
      </w:rPr>
    </w:lvl>
    <w:lvl w:ilvl="7" w:tplc="994A2E1E">
      <w:numFmt w:val="bullet"/>
      <w:lvlText w:val="•"/>
      <w:lvlJc w:val="left"/>
      <w:pPr>
        <w:ind w:left="6622" w:hanging="567"/>
      </w:pPr>
      <w:rPr>
        <w:lang w:val="en-AU" w:eastAsia="en-AU" w:bidi="en-AU"/>
      </w:rPr>
    </w:lvl>
    <w:lvl w:ilvl="8" w:tplc="B1569C84">
      <w:numFmt w:val="bullet"/>
      <w:lvlText w:val="•"/>
      <w:lvlJc w:val="left"/>
      <w:pPr>
        <w:ind w:left="7457" w:hanging="567"/>
      </w:pPr>
      <w:rPr>
        <w:lang w:val="en-AU" w:eastAsia="en-AU" w:bidi="en-AU"/>
      </w:rPr>
    </w:lvl>
  </w:abstractNum>
  <w:abstractNum w:abstractNumId="5" w15:restartNumberingAfterBreak="0">
    <w:nsid w:val="2FDD6E5B"/>
    <w:multiLevelType w:val="hybridMultilevel"/>
    <w:tmpl w:val="3850A8D0"/>
    <w:lvl w:ilvl="0" w:tplc="CE144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2838AA"/>
    <w:multiLevelType w:val="hybridMultilevel"/>
    <w:tmpl w:val="04C8BDD8"/>
    <w:lvl w:ilvl="0" w:tplc="78D4E0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246F5B"/>
    <w:multiLevelType w:val="hybridMultilevel"/>
    <w:tmpl w:val="64988EAC"/>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1AE72D5"/>
    <w:multiLevelType w:val="hybridMultilevel"/>
    <w:tmpl w:val="480E9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0A3572"/>
    <w:multiLevelType w:val="hybridMultilevel"/>
    <w:tmpl w:val="87B8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2A3C5B"/>
    <w:multiLevelType w:val="hybridMultilevel"/>
    <w:tmpl w:val="DE82D7E4"/>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47065E1"/>
    <w:multiLevelType w:val="hybridMultilevel"/>
    <w:tmpl w:val="A466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1F4DE7"/>
    <w:multiLevelType w:val="hybridMultilevel"/>
    <w:tmpl w:val="BCD0F65A"/>
    <w:lvl w:ilvl="0" w:tplc="BA607BF4">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53200"/>
    <w:multiLevelType w:val="hybridMultilevel"/>
    <w:tmpl w:val="B1E8C0CC"/>
    <w:lvl w:ilvl="0" w:tplc="82489E62">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D0532"/>
    <w:multiLevelType w:val="hybridMultilevel"/>
    <w:tmpl w:val="1076F19A"/>
    <w:lvl w:ilvl="0" w:tplc="B3101D8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3"/>
  </w:num>
  <w:num w:numId="3">
    <w:abstractNumId w:val="2"/>
  </w:num>
  <w:num w:numId="4">
    <w:abstractNumId w:val="12"/>
  </w:num>
  <w:num w:numId="5">
    <w:abstractNumId w:val="11"/>
  </w:num>
  <w:num w:numId="6">
    <w:abstractNumId w:val="6"/>
  </w:num>
  <w:num w:numId="7">
    <w:abstractNumId w:val="14"/>
  </w:num>
  <w:num w:numId="8">
    <w:abstractNumId w:val="5"/>
  </w:num>
  <w:num w:numId="9">
    <w:abstractNumId w:val="7"/>
  </w:num>
  <w:num w:numId="10">
    <w:abstractNumId w:val="4"/>
  </w:num>
  <w:num w:numId="11">
    <w:abstractNumId w:val="10"/>
  </w:num>
  <w:num w:numId="12">
    <w:abstractNumId w:val="1"/>
  </w:num>
  <w:num w:numId="13">
    <w:abstractNumId w:val="8"/>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25"/>
    <w:rsid w:val="00007707"/>
    <w:rsid w:val="0001628C"/>
    <w:rsid w:val="00016E6C"/>
    <w:rsid w:val="0001708A"/>
    <w:rsid w:val="00033E10"/>
    <w:rsid w:val="000414D8"/>
    <w:rsid w:val="00046438"/>
    <w:rsid w:val="00051F4B"/>
    <w:rsid w:val="00062FA5"/>
    <w:rsid w:val="00066D36"/>
    <w:rsid w:val="00093F52"/>
    <w:rsid w:val="00096B03"/>
    <w:rsid w:val="000A1693"/>
    <w:rsid w:val="000A5E6B"/>
    <w:rsid w:val="000C0ED4"/>
    <w:rsid w:val="000F219E"/>
    <w:rsid w:val="00102341"/>
    <w:rsid w:val="00103830"/>
    <w:rsid w:val="0010501B"/>
    <w:rsid w:val="0010617A"/>
    <w:rsid w:val="001069BF"/>
    <w:rsid w:val="00113CB1"/>
    <w:rsid w:val="0013394D"/>
    <w:rsid w:val="001416F8"/>
    <w:rsid w:val="00144E7D"/>
    <w:rsid w:val="0014773B"/>
    <w:rsid w:val="00173158"/>
    <w:rsid w:val="0018478B"/>
    <w:rsid w:val="001869FB"/>
    <w:rsid w:val="00191933"/>
    <w:rsid w:val="00196D46"/>
    <w:rsid w:val="001A14CD"/>
    <w:rsid w:val="001A41CA"/>
    <w:rsid w:val="001A5621"/>
    <w:rsid w:val="001A7590"/>
    <w:rsid w:val="001C17DD"/>
    <w:rsid w:val="001C4390"/>
    <w:rsid w:val="001D075E"/>
    <w:rsid w:val="001E07AD"/>
    <w:rsid w:val="001E4754"/>
    <w:rsid w:val="001E6B0B"/>
    <w:rsid w:val="001F03F8"/>
    <w:rsid w:val="001F38B8"/>
    <w:rsid w:val="001F7121"/>
    <w:rsid w:val="00202F47"/>
    <w:rsid w:val="0022444B"/>
    <w:rsid w:val="00234804"/>
    <w:rsid w:val="00244A41"/>
    <w:rsid w:val="00246574"/>
    <w:rsid w:val="00251CE6"/>
    <w:rsid w:val="00251E7C"/>
    <w:rsid w:val="00270ACA"/>
    <w:rsid w:val="002801D8"/>
    <w:rsid w:val="00287455"/>
    <w:rsid w:val="0029119D"/>
    <w:rsid w:val="00297A7E"/>
    <w:rsid w:val="002D2570"/>
    <w:rsid w:val="002D403C"/>
    <w:rsid w:val="002E4820"/>
    <w:rsid w:val="0033006F"/>
    <w:rsid w:val="003768B0"/>
    <w:rsid w:val="00383910"/>
    <w:rsid w:val="003951CB"/>
    <w:rsid w:val="003B4B2E"/>
    <w:rsid w:val="003B6F60"/>
    <w:rsid w:val="003C3D89"/>
    <w:rsid w:val="003C5A90"/>
    <w:rsid w:val="003D5678"/>
    <w:rsid w:val="003E0563"/>
    <w:rsid w:val="003E1690"/>
    <w:rsid w:val="003E338C"/>
    <w:rsid w:val="003F446F"/>
    <w:rsid w:val="00401237"/>
    <w:rsid w:val="0040281C"/>
    <w:rsid w:val="004108F5"/>
    <w:rsid w:val="00420063"/>
    <w:rsid w:val="00424A59"/>
    <w:rsid w:val="0042605C"/>
    <w:rsid w:val="004363CB"/>
    <w:rsid w:val="00455EC5"/>
    <w:rsid w:val="004563B7"/>
    <w:rsid w:val="00463090"/>
    <w:rsid w:val="004709A9"/>
    <w:rsid w:val="004862E5"/>
    <w:rsid w:val="00490A8B"/>
    <w:rsid w:val="0049262A"/>
    <w:rsid w:val="00493C04"/>
    <w:rsid w:val="004A0629"/>
    <w:rsid w:val="004A66E0"/>
    <w:rsid w:val="004B1C1E"/>
    <w:rsid w:val="004B1D64"/>
    <w:rsid w:val="004B218A"/>
    <w:rsid w:val="004B5C5C"/>
    <w:rsid w:val="004C1921"/>
    <w:rsid w:val="004D1CCD"/>
    <w:rsid w:val="004E3790"/>
    <w:rsid w:val="004F4FAE"/>
    <w:rsid w:val="00501420"/>
    <w:rsid w:val="0050219F"/>
    <w:rsid w:val="005073D1"/>
    <w:rsid w:val="00516B2B"/>
    <w:rsid w:val="0052749D"/>
    <w:rsid w:val="00531C02"/>
    <w:rsid w:val="00541C5A"/>
    <w:rsid w:val="00543014"/>
    <w:rsid w:val="00550506"/>
    <w:rsid w:val="00550850"/>
    <w:rsid w:val="005546C0"/>
    <w:rsid w:val="00557732"/>
    <w:rsid w:val="005739C9"/>
    <w:rsid w:val="00583D5A"/>
    <w:rsid w:val="00586F0E"/>
    <w:rsid w:val="00587FB9"/>
    <w:rsid w:val="005C54B2"/>
    <w:rsid w:val="005D47CA"/>
    <w:rsid w:val="005D4C06"/>
    <w:rsid w:val="005E0556"/>
    <w:rsid w:val="005E417F"/>
    <w:rsid w:val="005E530D"/>
    <w:rsid w:val="005F33A1"/>
    <w:rsid w:val="005F44C1"/>
    <w:rsid w:val="00602DDA"/>
    <w:rsid w:val="006065FB"/>
    <w:rsid w:val="0060694A"/>
    <w:rsid w:val="0062095B"/>
    <w:rsid w:val="00622B8C"/>
    <w:rsid w:val="00623FA3"/>
    <w:rsid w:val="00675DA9"/>
    <w:rsid w:val="006863E7"/>
    <w:rsid w:val="00695F1D"/>
    <w:rsid w:val="006A0962"/>
    <w:rsid w:val="006B68D2"/>
    <w:rsid w:val="006C166A"/>
    <w:rsid w:val="006C694D"/>
    <w:rsid w:val="006D64FC"/>
    <w:rsid w:val="006F6173"/>
    <w:rsid w:val="00704307"/>
    <w:rsid w:val="007047C0"/>
    <w:rsid w:val="007061F5"/>
    <w:rsid w:val="007117DF"/>
    <w:rsid w:val="00713F88"/>
    <w:rsid w:val="007242EB"/>
    <w:rsid w:val="00737244"/>
    <w:rsid w:val="00757295"/>
    <w:rsid w:val="00764547"/>
    <w:rsid w:val="00791183"/>
    <w:rsid w:val="007A13A4"/>
    <w:rsid w:val="007B49DB"/>
    <w:rsid w:val="007B747F"/>
    <w:rsid w:val="007C263C"/>
    <w:rsid w:val="007E63BD"/>
    <w:rsid w:val="007F5400"/>
    <w:rsid w:val="007F7CC7"/>
    <w:rsid w:val="007F7E3F"/>
    <w:rsid w:val="008028FC"/>
    <w:rsid w:val="00822657"/>
    <w:rsid w:val="00825867"/>
    <w:rsid w:val="008328BF"/>
    <w:rsid w:val="00841DD5"/>
    <w:rsid w:val="0085203B"/>
    <w:rsid w:val="0085704F"/>
    <w:rsid w:val="00864E3C"/>
    <w:rsid w:val="00886B4A"/>
    <w:rsid w:val="00897858"/>
    <w:rsid w:val="008A087A"/>
    <w:rsid w:val="008A54FC"/>
    <w:rsid w:val="008B01D8"/>
    <w:rsid w:val="008B1728"/>
    <w:rsid w:val="008B47DA"/>
    <w:rsid w:val="008C6DF4"/>
    <w:rsid w:val="008D5ED9"/>
    <w:rsid w:val="008E1B85"/>
    <w:rsid w:val="008E494C"/>
    <w:rsid w:val="008E4EA1"/>
    <w:rsid w:val="008E5D58"/>
    <w:rsid w:val="008E7800"/>
    <w:rsid w:val="008F40B8"/>
    <w:rsid w:val="009174DE"/>
    <w:rsid w:val="009221B9"/>
    <w:rsid w:val="00922825"/>
    <w:rsid w:val="00940C7F"/>
    <w:rsid w:val="00962922"/>
    <w:rsid w:val="00976454"/>
    <w:rsid w:val="00984A1E"/>
    <w:rsid w:val="009A1806"/>
    <w:rsid w:val="009A6481"/>
    <w:rsid w:val="009A7C0D"/>
    <w:rsid w:val="009D0016"/>
    <w:rsid w:val="009D65AC"/>
    <w:rsid w:val="009E2576"/>
    <w:rsid w:val="009E5455"/>
    <w:rsid w:val="009F11C2"/>
    <w:rsid w:val="00A113CC"/>
    <w:rsid w:val="00A151FC"/>
    <w:rsid w:val="00A17D57"/>
    <w:rsid w:val="00A25157"/>
    <w:rsid w:val="00A3113F"/>
    <w:rsid w:val="00A40C15"/>
    <w:rsid w:val="00A42F05"/>
    <w:rsid w:val="00A56592"/>
    <w:rsid w:val="00A57371"/>
    <w:rsid w:val="00A90497"/>
    <w:rsid w:val="00A91EEE"/>
    <w:rsid w:val="00A93D6C"/>
    <w:rsid w:val="00A95270"/>
    <w:rsid w:val="00AA224A"/>
    <w:rsid w:val="00AA4382"/>
    <w:rsid w:val="00AA6CA6"/>
    <w:rsid w:val="00AB2439"/>
    <w:rsid w:val="00AC7679"/>
    <w:rsid w:val="00AD1612"/>
    <w:rsid w:val="00AF0062"/>
    <w:rsid w:val="00B04B8A"/>
    <w:rsid w:val="00B0528F"/>
    <w:rsid w:val="00B13DFD"/>
    <w:rsid w:val="00B269A1"/>
    <w:rsid w:val="00B83C88"/>
    <w:rsid w:val="00B86E93"/>
    <w:rsid w:val="00B92F2A"/>
    <w:rsid w:val="00BA0295"/>
    <w:rsid w:val="00BA6249"/>
    <w:rsid w:val="00BC1EA9"/>
    <w:rsid w:val="00BE4503"/>
    <w:rsid w:val="00BE6BDF"/>
    <w:rsid w:val="00BF1593"/>
    <w:rsid w:val="00BF4E7B"/>
    <w:rsid w:val="00C07358"/>
    <w:rsid w:val="00C13ED2"/>
    <w:rsid w:val="00C14AE7"/>
    <w:rsid w:val="00C15807"/>
    <w:rsid w:val="00C36676"/>
    <w:rsid w:val="00C44351"/>
    <w:rsid w:val="00C452FD"/>
    <w:rsid w:val="00C62DAC"/>
    <w:rsid w:val="00C64C79"/>
    <w:rsid w:val="00C83FA4"/>
    <w:rsid w:val="00C8716D"/>
    <w:rsid w:val="00C87348"/>
    <w:rsid w:val="00CB3921"/>
    <w:rsid w:val="00CC5621"/>
    <w:rsid w:val="00CC6EC4"/>
    <w:rsid w:val="00CD5683"/>
    <w:rsid w:val="00D154E2"/>
    <w:rsid w:val="00D17F1C"/>
    <w:rsid w:val="00D43060"/>
    <w:rsid w:val="00D44587"/>
    <w:rsid w:val="00D549C1"/>
    <w:rsid w:val="00D70CE2"/>
    <w:rsid w:val="00D741A9"/>
    <w:rsid w:val="00D74DCC"/>
    <w:rsid w:val="00D74EA0"/>
    <w:rsid w:val="00D751BB"/>
    <w:rsid w:val="00D804A9"/>
    <w:rsid w:val="00D84944"/>
    <w:rsid w:val="00D91C34"/>
    <w:rsid w:val="00DA45C1"/>
    <w:rsid w:val="00DB4D35"/>
    <w:rsid w:val="00DB5484"/>
    <w:rsid w:val="00DB59C3"/>
    <w:rsid w:val="00DC409D"/>
    <w:rsid w:val="00DC49BD"/>
    <w:rsid w:val="00DD4B08"/>
    <w:rsid w:val="00DE6A8F"/>
    <w:rsid w:val="00DF3FEE"/>
    <w:rsid w:val="00DF5521"/>
    <w:rsid w:val="00E00161"/>
    <w:rsid w:val="00E0472D"/>
    <w:rsid w:val="00E10BED"/>
    <w:rsid w:val="00E15B46"/>
    <w:rsid w:val="00E170CE"/>
    <w:rsid w:val="00E265DC"/>
    <w:rsid w:val="00E61E2C"/>
    <w:rsid w:val="00E67B60"/>
    <w:rsid w:val="00E702FC"/>
    <w:rsid w:val="00E86241"/>
    <w:rsid w:val="00E925F6"/>
    <w:rsid w:val="00EA0353"/>
    <w:rsid w:val="00EC52DB"/>
    <w:rsid w:val="00ED79AE"/>
    <w:rsid w:val="00EE3E40"/>
    <w:rsid w:val="00EF6A8D"/>
    <w:rsid w:val="00F00779"/>
    <w:rsid w:val="00F02039"/>
    <w:rsid w:val="00F11FEC"/>
    <w:rsid w:val="00F12A12"/>
    <w:rsid w:val="00F2048E"/>
    <w:rsid w:val="00F23586"/>
    <w:rsid w:val="00F33962"/>
    <w:rsid w:val="00F405CA"/>
    <w:rsid w:val="00F41B08"/>
    <w:rsid w:val="00F4327F"/>
    <w:rsid w:val="00F564FE"/>
    <w:rsid w:val="00F75993"/>
    <w:rsid w:val="00F86CE7"/>
    <w:rsid w:val="00FB47F6"/>
    <w:rsid w:val="00FB7A36"/>
    <w:rsid w:val="00FC4A67"/>
    <w:rsid w:val="00FE5C19"/>
    <w:rsid w:val="00FF4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9807B"/>
  <w15:chartTrackingRefBased/>
  <w15:docId w15:val="{45A44A5D-52FD-4C37-8D63-5F047B3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C70"/>
    <w:pPr>
      <w:spacing w:after="120"/>
    </w:pPr>
    <w:rPr>
      <w:rFonts w:ascii="Lato" w:hAnsi="Lato"/>
      <w:sz w:val="22"/>
      <w:szCs w:val="24"/>
    </w:rPr>
  </w:style>
  <w:style w:type="paragraph" w:styleId="Heading1">
    <w:name w:val="heading 1"/>
    <w:basedOn w:val="Normal"/>
    <w:next w:val="Normal"/>
    <w:qFormat/>
    <w:rsid w:val="005C54B2"/>
    <w:pPr>
      <w:keepNext/>
      <w:spacing w:before="240" w:after="60"/>
      <w:outlineLvl w:val="0"/>
    </w:pPr>
    <w:rPr>
      <w:rFonts w:ascii="Lato Heavy" w:hAnsi="Lato Heavy" w:cs="Arial"/>
      <w:bCs/>
      <w:kern w:val="32"/>
      <w:sz w:val="32"/>
      <w:szCs w:val="32"/>
    </w:rPr>
  </w:style>
  <w:style w:type="paragraph" w:styleId="Heading2">
    <w:name w:val="heading 2"/>
    <w:basedOn w:val="Normal"/>
    <w:next w:val="Normal"/>
    <w:link w:val="Heading2Char"/>
    <w:unhideWhenUsed/>
    <w:qFormat/>
    <w:rsid w:val="00D43060"/>
    <w:pPr>
      <w:keepNext/>
      <w:spacing w:before="240"/>
      <w:outlineLvl w:val="1"/>
    </w:pPr>
    <w:rPr>
      <w:rFonts w:ascii="LatoLatin Heavy" w:eastAsiaTheme="majorEastAsia" w:hAnsi="LatoLatin Heavy" w:cstheme="majorBidi"/>
      <w:bCs/>
      <w:iCs/>
      <w:sz w:val="28"/>
      <w:szCs w:val="28"/>
    </w:rPr>
  </w:style>
  <w:style w:type="paragraph" w:styleId="Heading3">
    <w:name w:val="heading 3"/>
    <w:basedOn w:val="Normal"/>
    <w:next w:val="Normal"/>
    <w:link w:val="Heading3Char"/>
    <w:unhideWhenUsed/>
    <w:qFormat/>
    <w:rsid w:val="008B01D8"/>
    <w:pP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4B1D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spacing w:val="-3"/>
      <w:sz w:val="26"/>
      <w:szCs w:val="20"/>
      <w:lang w:val="en-GB"/>
    </w:rPr>
  </w:style>
  <w:style w:type="character" w:customStyle="1" w:styleId="SectionChar">
    <w:name w:val="Section Char"/>
    <w:link w:val="Section"/>
    <w:rsid w:val="004B1D64"/>
    <w:rPr>
      <w:spacing w:val="-3"/>
      <w:sz w:val="26"/>
      <w:lang w:val="en-GB" w:eastAsia="en-AU" w:bidi="ar-SA"/>
    </w:rPr>
  </w:style>
  <w:style w:type="paragraph" w:customStyle="1" w:styleId="NewSectionHeading">
    <w:name w:val="New Section Heading"/>
    <w:basedOn w:val="Heading1"/>
    <w:next w:val="Normal"/>
    <w:rsid w:val="004B1D6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hanging="720"/>
      <w:jc w:val="both"/>
      <w:outlineLvl w:val="9"/>
    </w:pPr>
    <w:rPr>
      <w:rFonts w:ascii="Times New Roman" w:hAnsi="Times New Roman" w:cs="Times New Roman"/>
      <w:bCs w:val="0"/>
      <w:spacing w:val="-3"/>
      <w:kern w:val="28"/>
      <w:sz w:val="26"/>
      <w:szCs w:val="20"/>
      <w:lang w:val="en-GB"/>
    </w:rPr>
  </w:style>
  <w:style w:type="paragraph" w:styleId="Header">
    <w:name w:val="header"/>
    <w:basedOn w:val="Normal"/>
    <w:rsid w:val="00A91EEE"/>
    <w:pPr>
      <w:tabs>
        <w:tab w:val="center" w:pos="4153"/>
        <w:tab w:val="right" w:pos="8306"/>
      </w:tabs>
    </w:pPr>
  </w:style>
  <w:style w:type="paragraph" w:styleId="Footer">
    <w:name w:val="footer"/>
    <w:basedOn w:val="Normal"/>
    <w:link w:val="FooterChar"/>
    <w:uiPriority w:val="99"/>
    <w:rsid w:val="00A91EEE"/>
    <w:pPr>
      <w:tabs>
        <w:tab w:val="center" w:pos="4153"/>
        <w:tab w:val="right" w:pos="8306"/>
      </w:tabs>
    </w:pPr>
  </w:style>
  <w:style w:type="paragraph" w:customStyle="1" w:styleId="Default">
    <w:name w:val="Default"/>
    <w:rsid w:val="005E0556"/>
    <w:pPr>
      <w:autoSpaceDE w:val="0"/>
      <w:autoSpaceDN w:val="0"/>
      <w:adjustRightInd w:val="0"/>
    </w:pPr>
    <w:rPr>
      <w:rFonts w:ascii="Arial" w:hAnsi="Arial" w:cs="Arial"/>
      <w:color w:val="000000"/>
      <w:sz w:val="24"/>
      <w:szCs w:val="24"/>
    </w:rPr>
  </w:style>
  <w:style w:type="character" w:styleId="Hyperlink">
    <w:name w:val="Hyperlink"/>
    <w:rsid w:val="005E0556"/>
    <w:rPr>
      <w:color w:val="0000FF"/>
      <w:u w:val="single"/>
    </w:rPr>
  </w:style>
  <w:style w:type="character" w:customStyle="1" w:styleId="FooterChar">
    <w:name w:val="Footer Char"/>
    <w:link w:val="Footer"/>
    <w:uiPriority w:val="99"/>
    <w:rsid w:val="00251E7C"/>
    <w:rPr>
      <w:sz w:val="24"/>
      <w:szCs w:val="24"/>
    </w:rPr>
  </w:style>
  <w:style w:type="paragraph" w:styleId="ListParagraph">
    <w:name w:val="List Paragraph"/>
    <w:basedOn w:val="Normal"/>
    <w:uiPriority w:val="34"/>
    <w:qFormat/>
    <w:rsid w:val="00FF4C70"/>
    <w:pPr>
      <w:spacing w:after="40"/>
      <w:ind w:left="720"/>
    </w:pPr>
  </w:style>
  <w:style w:type="character" w:styleId="CommentReference">
    <w:name w:val="annotation reference"/>
    <w:rsid w:val="0062095B"/>
    <w:rPr>
      <w:sz w:val="16"/>
      <w:szCs w:val="16"/>
    </w:rPr>
  </w:style>
  <w:style w:type="paragraph" w:styleId="CommentText">
    <w:name w:val="annotation text"/>
    <w:basedOn w:val="Normal"/>
    <w:link w:val="CommentTextChar"/>
    <w:rsid w:val="0062095B"/>
    <w:rPr>
      <w:sz w:val="20"/>
      <w:szCs w:val="20"/>
    </w:rPr>
  </w:style>
  <w:style w:type="character" w:customStyle="1" w:styleId="CommentTextChar">
    <w:name w:val="Comment Text Char"/>
    <w:basedOn w:val="DefaultParagraphFont"/>
    <w:link w:val="CommentText"/>
    <w:rsid w:val="0062095B"/>
  </w:style>
  <w:style w:type="paragraph" w:styleId="CommentSubject">
    <w:name w:val="annotation subject"/>
    <w:basedOn w:val="CommentText"/>
    <w:next w:val="CommentText"/>
    <w:link w:val="CommentSubjectChar"/>
    <w:rsid w:val="0062095B"/>
    <w:rPr>
      <w:b/>
      <w:bCs/>
    </w:rPr>
  </w:style>
  <w:style w:type="character" w:customStyle="1" w:styleId="CommentSubjectChar">
    <w:name w:val="Comment Subject Char"/>
    <w:link w:val="CommentSubject"/>
    <w:rsid w:val="0062095B"/>
    <w:rPr>
      <w:b/>
      <w:bCs/>
    </w:rPr>
  </w:style>
  <w:style w:type="paragraph" w:styleId="BalloonText">
    <w:name w:val="Balloon Text"/>
    <w:basedOn w:val="Normal"/>
    <w:link w:val="BalloonTextChar"/>
    <w:rsid w:val="0062095B"/>
    <w:rPr>
      <w:rFonts w:ascii="Segoe UI" w:hAnsi="Segoe UI" w:cs="Segoe UI"/>
      <w:sz w:val="18"/>
      <w:szCs w:val="18"/>
    </w:rPr>
  </w:style>
  <w:style w:type="character" w:customStyle="1" w:styleId="BalloonTextChar">
    <w:name w:val="Balloon Text Char"/>
    <w:link w:val="BalloonText"/>
    <w:rsid w:val="0062095B"/>
    <w:rPr>
      <w:rFonts w:ascii="Segoe UI" w:hAnsi="Segoe UI" w:cs="Segoe UI"/>
      <w:sz w:val="18"/>
      <w:szCs w:val="18"/>
    </w:rPr>
  </w:style>
  <w:style w:type="table" w:styleId="TableGrid">
    <w:name w:val="Table Grid"/>
    <w:basedOn w:val="TableNormal"/>
    <w:rsid w:val="005F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43060"/>
    <w:pPr>
      <w:spacing w:before="240" w:after="60"/>
      <w:outlineLvl w:val="0"/>
    </w:pPr>
    <w:rPr>
      <w:rFonts w:ascii="Lato Heavy" w:eastAsiaTheme="majorEastAsia" w:hAnsi="Lato Heavy" w:cstheme="majorBidi"/>
      <w:b/>
      <w:bCs/>
      <w:noProof/>
      <w:kern w:val="28"/>
      <w:sz w:val="36"/>
      <w:szCs w:val="32"/>
    </w:rPr>
  </w:style>
  <w:style w:type="character" w:customStyle="1" w:styleId="TitleChar">
    <w:name w:val="Title Char"/>
    <w:basedOn w:val="DefaultParagraphFont"/>
    <w:link w:val="Title"/>
    <w:rsid w:val="00D43060"/>
    <w:rPr>
      <w:rFonts w:ascii="Lato Heavy" w:eastAsiaTheme="majorEastAsia" w:hAnsi="Lato Heavy" w:cstheme="majorBidi"/>
      <w:b/>
      <w:bCs/>
      <w:noProof/>
      <w:kern w:val="28"/>
      <w:sz w:val="36"/>
      <w:szCs w:val="32"/>
    </w:rPr>
  </w:style>
  <w:style w:type="character" w:customStyle="1" w:styleId="Heading2Char">
    <w:name w:val="Heading 2 Char"/>
    <w:basedOn w:val="DefaultParagraphFont"/>
    <w:link w:val="Heading2"/>
    <w:rsid w:val="00D43060"/>
    <w:rPr>
      <w:rFonts w:ascii="LatoLatin Heavy" w:eastAsiaTheme="majorEastAsia" w:hAnsi="LatoLatin Heavy" w:cstheme="majorBidi"/>
      <w:bCs/>
      <w:iCs/>
      <w:sz w:val="28"/>
      <w:szCs w:val="28"/>
    </w:rPr>
  </w:style>
  <w:style w:type="character" w:styleId="Emphasis">
    <w:name w:val="Emphasis"/>
    <w:basedOn w:val="DefaultParagraphFont"/>
    <w:qFormat/>
    <w:rsid w:val="008B01D8"/>
    <w:rPr>
      <w:rFonts w:ascii="Lato" w:hAnsi="Lato"/>
      <w:i/>
      <w:iCs/>
      <w:sz w:val="22"/>
    </w:rPr>
  </w:style>
  <w:style w:type="character" w:customStyle="1" w:styleId="Heading3Char">
    <w:name w:val="Heading 3 Char"/>
    <w:basedOn w:val="DefaultParagraphFont"/>
    <w:link w:val="Heading3"/>
    <w:rsid w:val="008B01D8"/>
    <w:rPr>
      <w:rFonts w:ascii="Lato" w:hAnsi="Lat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7809-90E7-4A0E-95FF-4A6831DD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VETERINARY BOARD OF THE NORTHERN TERRITORY</vt:lpstr>
    </vt:vector>
  </TitlesOfParts>
  <Company>CSC Australia</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the employment of new graduates and inexperienced veterinarians</dc:title>
  <dc:subject/>
  <dc:creator>Northern Territory Government</dc:creator>
  <cp:keywords/>
  <dc:description/>
  <cp:lastModifiedBy>Vanessa Madrill</cp:lastModifiedBy>
  <cp:revision>5</cp:revision>
  <cp:lastPrinted>2020-08-11T00:23:00Z</cp:lastPrinted>
  <dcterms:created xsi:type="dcterms:W3CDTF">2020-08-11T00:22:00Z</dcterms:created>
  <dcterms:modified xsi:type="dcterms:W3CDTF">2020-08-11T00:23:00Z</dcterms:modified>
</cp:coreProperties>
</file>