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C5" w:rsidRPr="00026DF6" w:rsidRDefault="00B97EC5" w:rsidP="00B97EC5">
      <w:r w:rsidRPr="00026DF6">
        <w:t xml:space="preserve">The Plant Industries Branch of the NT Department of Primary Industry and Resources (NT DPIR) partnered with the Australian Centre for International Agricultural Research (ACIAR) and various corporate partners to complete three mango fruit fly disinfestation trials in 2017 and 2018.The methodology used in each trial segmented areas of the supply chain that may affect the quality of mango fruit treated with disinfestation. Key findings are summarised below.  </w:t>
      </w:r>
    </w:p>
    <w:p w:rsidR="00B97EC5" w:rsidRPr="00B97EC5" w:rsidRDefault="00B97EC5" w:rsidP="00B97EC5">
      <w:pPr>
        <w:pStyle w:val="Heading1"/>
      </w:pPr>
      <w:r w:rsidRPr="00B97EC5">
        <w:t>Maturity matters</w:t>
      </w:r>
    </w:p>
    <w:p w:rsidR="00B97EC5" w:rsidRPr="00026DF6" w:rsidRDefault="00B97EC5" w:rsidP="00B97EC5">
      <w:r w:rsidRPr="00026DF6">
        <w:t xml:space="preserve">The harvest maturity of mango fruit can affect the quality of fruit treated with disinfestation. For some cultivars, decline in fruit quality after treatment is exaggerated in overly mature fruit. However, we also found the opposite could also occur in other cultivars. Identifying harvest maturity of a fruit lot can allow for adjustment of treatment conditions to manage quality. Fruit lots with inconsistent harvest maturity are therefore difficult to treat. </w:t>
      </w:r>
    </w:p>
    <w:p w:rsidR="00B97EC5" w:rsidRPr="002F3946" w:rsidRDefault="00B97EC5" w:rsidP="00B97EC5">
      <w:pPr>
        <w:pStyle w:val="Heading1"/>
      </w:pPr>
      <w:r w:rsidRPr="002F3946">
        <w:t>Pre-treatment quality</w:t>
      </w:r>
    </w:p>
    <w:p w:rsidR="00B97EC5" w:rsidRPr="00026DF6" w:rsidRDefault="00B97EC5" w:rsidP="00B97EC5">
      <w:r w:rsidRPr="00026DF6">
        <w:t xml:space="preserve">Many quality issues present in mango fruit before disinfestation treatment are exacerbated after treatment. Lenticels, scratches and lesions to the skin particularly effected. </w:t>
      </w:r>
    </w:p>
    <w:p w:rsidR="00B97EC5" w:rsidRPr="00026DF6" w:rsidRDefault="00B97EC5" w:rsidP="00B97EC5">
      <w:pPr>
        <w:pStyle w:val="Heading1"/>
      </w:pPr>
      <w:r w:rsidRPr="00026DF6">
        <w:t>Fungal and bacterial blemish</w:t>
      </w:r>
    </w:p>
    <w:p w:rsidR="00B97EC5" w:rsidRPr="00026DF6" w:rsidRDefault="00B97EC5" w:rsidP="00B97EC5">
      <w:r w:rsidRPr="00026DF6">
        <w:t xml:space="preserve">The incidence of fungal and bacterial conditions is reduced in response to disinfestation treatments. In particular, we found reductions in skin and stem end rots, and Resin Canal Discolouration (RCD) in fruit treated with gamma irradiation, hot water treatment and vapour heat treatment. </w:t>
      </w:r>
    </w:p>
    <w:p w:rsidR="00B97EC5" w:rsidRDefault="00B97EC5" w:rsidP="00B97EC5">
      <w:pPr>
        <w:pStyle w:val="Subheading"/>
        <w:spacing w:before="0" w:after="0"/>
        <w:rPr>
          <w:rFonts w:ascii="Lato" w:hAnsi="Lato"/>
          <w:sz w:val="22"/>
          <w:szCs w:val="22"/>
        </w:rPr>
      </w:pPr>
      <w:r w:rsidRPr="00026DF6">
        <w:rPr>
          <w:noProof/>
        </w:rPr>
        <w:drawing>
          <wp:inline distT="0" distB="0" distL="0" distR="0" wp14:anchorId="3E6B6508" wp14:editId="390FC2B1">
            <wp:extent cx="5830957" cy="1961321"/>
            <wp:effectExtent l="0" t="0" r="0" b="1270"/>
            <wp:docPr id="8" name="Chart 8" descr="Incidence of RCD in different treatments" title="Incidence of RCD in different treat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7EC5" w:rsidRPr="00B97EC5" w:rsidRDefault="00B97EC5" w:rsidP="00B97EC5">
      <w:pPr>
        <w:pStyle w:val="caption0"/>
        <w:rPr>
          <w:color w:val="808080" w:themeColor="background1" w:themeShade="80"/>
        </w:rPr>
      </w:pPr>
      <w:r w:rsidRPr="00B97EC5">
        <w:rPr>
          <w:color w:val="808080" w:themeColor="background1" w:themeShade="80"/>
        </w:rPr>
        <w:t xml:space="preserve">Figure </w:t>
      </w:r>
      <w:fldSimple w:instr=" SEQ Figure \* ARABIC ">
        <w:r w:rsidRPr="00B97EC5">
          <w:rPr>
            <w:color w:val="808080" w:themeColor="background1" w:themeShade="80"/>
          </w:rPr>
          <w:t>1</w:t>
        </w:r>
      </w:fldSimple>
      <w:r w:rsidRPr="00B97EC5">
        <w:rPr>
          <w:color w:val="808080" w:themeColor="background1" w:themeShade="80"/>
        </w:rPr>
        <w:t>. Incidence of Resin Canal Discolouration (RCD) in fruit treated with heat disinfestation.</w:t>
      </w:r>
    </w:p>
    <w:p w:rsidR="00B97EC5" w:rsidRPr="00026DF6" w:rsidRDefault="00B97EC5" w:rsidP="00B97EC5">
      <w:pPr>
        <w:pStyle w:val="Heading1"/>
      </w:pPr>
      <w:r w:rsidRPr="00026DF6">
        <w:t>Pre-ripening for irradiation</w:t>
      </w:r>
    </w:p>
    <w:p w:rsidR="00B97EC5" w:rsidRPr="00026DF6" w:rsidRDefault="00B97EC5" w:rsidP="00B97EC5">
      <w:r w:rsidRPr="00026DF6">
        <w:t xml:space="preserve">Fruit that is not ripened before gamma irradiation treatment retains green skin colour. Fruit with lower harvest maturities require a longer ripening period than those with higher harvest maturities. </w:t>
      </w:r>
    </w:p>
    <w:p w:rsidR="00B97EC5" w:rsidRPr="00026DF6" w:rsidRDefault="00B97EC5" w:rsidP="00B97EC5">
      <w:pPr>
        <w:pStyle w:val="Heading1"/>
      </w:pPr>
      <w:r w:rsidRPr="00026DF6">
        <w:t>Conditioning for hot water</w:t>
      </w:r>
    </w:p>
    <w:p w:rsidR="00B97EC5" w:rsidRPr="00026DF6" w:rsidRDefault="00B97EC5" w:rsidP="00B97EC5">
      <w:r w:rsidRPr="00026DF6">
        <w:t xml:space="preserve">Acclimatising mango fruit to higher temperatures, with storage at 30 °C for 12 hours or more, reduces internal and external quality decline as a result of hot water treatment. </w:t>
      </w:r>
    </w:p>
    <w:p w:rsidR="00B97EC5" w:rsidRPr="00026DF6" w:rsidRDefault="00B97EC5" w:rsidP="00B97EC5">
      <w:pPr>
        <w:pStyle w:val="Heading1"/>
      </w:pPr>
      <w:r w:rsidRPr="00026DF6">
        <w:t>Cultivar specific treatment</w:t>
      </w:r>
    </w:p>
    <w:p w:rsidR="00B97EC5" w:rsidRDefault="00B97EC5" w:rsidP="00B97EC5">
      <w:r w:rsidRPr="00026DF6">
        <w:t>Mango cultivars respond differently to fruit fly disinfestation treatments. It is important to identify the specific treatment conditions required to maintain quality of each mango cultivar. For some cultivars, only certain treatments are suitable.</w:t>
      </w:r>
    </w:p>
    <w:p w:rsidR="00B97EC5" w:rsidRDefault="00B97EC5" w:rsidP="00B97EC5">
      <w:r w:rsidRPr="002F3946">
        <w:rPr>
          <w:noProof/>
          <w:lang w:eastAsia="en-AU"/>
        </w:rPr>
        <w:lastRenderedPageBreak/>
        <w:drawing>
          <wp:inline distT="0" distB="0" distL="0" distR="0" wp14:anchorId="2CACD186" wp14:editId="7CEED79E">
            <wp:extent cx="3017520" cy="3185798"/>
            <wp:effectExtent l="0" t="0" r="0" b="0"/>
            <wp:docPr id="12" name="Picture 11" descr="common fruit quality issues" title="common fruit quality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35865" cy="3205166"/>
                    </a:xfrm>
                    <a:prstGeom prst="rect">
                      <a:avLst/>
                    </a:prstGeom>
                  </pic:spPr>
                </pic:pic>
              </a:graphicData>
            </a:graphic>
          </wp:inline>
        </w:drawing>
      </w:r>
    </w:p>
    <w:p w:rsidR="00B97EC5" w:rsidRPr="00872825" w:rsidRDefault="00B97EC5" w:rsidP="00B97EC5">
      <w:pPr>
        <w:pStyle w:val="caption0"/>
        <w:rPr>
          <w:color w:val="808080" w:themeColor="background1" w:themeShade="80"/>
        </w:rPr>
      </w:pPr>
      <w:r w:rsidRPr="00872825">
        <w:rPr>
          <w:color w:val="808080" w:themeColor="background1" w:themeShade="80"/>
        </w:rPr>
        <w:t xml:space="preserve">Figure </w:t>
      </w:r>
      <w:r>
        <w:rPr>
          <w:noProof/>
          <w:color w:val="808080" w:themeColor="background1" w:themeShade="80"/>
        </w:rPr>
        <w:t>2</w:t>
      </w:r>
      <w:r w:rsidRPr="00872825">
        <w:rPr>
          <w:color w:val="808080" w:themeColor="background1" w:themeShade="80"/>
        </w:rPr>
        <w:t>. Fruit treated with gamma irradiation with green skin, under skin browning and severe lenticels a. green skin, b. severe lenticels, c. mild lenticels, d. under skin browning.</w:t>
      </w:r>
    </w:p>
    <w:p w:rsidR="00B97EC5" w:rsidRDefault="00B97EC5" w:rsidP="00B97EC5">
      <w:r w:rsidRPr="002F3946">
        <w:rPr>
          <w:noProof/>
          <w:lang w:eastAsia="en-AU"/>
        </w:rPr>
        <w:drawing>
          <wp:inline distT="0" distB="0" distL="0" distR="0" wp14:anchorId="71D2D5B6" wp14:editId="405D9723">
            <wp:extent cx="5420140" cy="2073965"/>
            <wp:effectExtent l="0" t="0" r="0" b="2540"/>
            <wp:docPr id="15" name="Chart 15" descr="Incidence of RCD"/>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7EC5" w:rsidRPr="00872825" w:rsidRDefault="00B97EC5" w:rsidP="00B97EC5">
      <w:pPr>
        <w:pStyle w:val="caption0"/>
        <w:rPr>
          <w:noProof/>
          <w:color w:val="808080" w:themeColor="background1" w:themeShade="80"/>
        </w:rPr>
      </w:pPr>
      <w:r w:rsidRPr="00872825">
        <w:rPr>
          <w:color w:val="808080" w:themeColor="background1" w:themeShade="80"/>
        </w:rPr>
        <w:t xml:space="preserve">Figure </w:t>
      </w:r>
      <w:r>
        <w:rPr>
          <w:color w:val="808080" w:themeColor="background1" w:themeShade="80"/>
        </w:rPr>
        <w:t>3</w:t>
      </w:r>
      <w:r w:rsidRPr="00872825">
        <w:rPr>
          <w:color w:val="808080" w:themeColor="background1" w:themeShade="80"/>
        </w:rPr>
        <w:t>. Incidence of Resin Canal Discolouration (RCD) in fruit treated with heat disinfestation.</w:t>
      </w:r>
    </w:p>
    <w:p w:rsidR="00B97EC5" w:rsidRDefault="00B97EC5" w:rsidP="00B97EC5">
      <w:pPr>
        <w:pStyle w:val="Caption"/>
      </w:pPr>
      <w:r w:rsidRPr="002F3946">
        <w:rPr>
          <w:noProof/>
          <w:lang w:eastAsia="en-AU"/>
        </w:rPr>
        <w:drawing>
          <wp:inline distT="0" distB="0" distL="0" distR="0" wp14:anchorId="617BE278" wp14:editId="68ABFDBE">
            <wp:extent cx="2961861" cy="2364308"/>
            <wp:effectExtent l="0" t="0" r="0" b="0"/>
            <wp:docPr id="5" name="Picture 5" descr="graph lenticels vs brix" title="graph lenticels vs b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03238" cy="2397337"/>
                    </a:xfrm>
                    <a:prstGeom prst="rect">
                      <a:avLst/>
                    </a:prstGeom>
                  </pic:spPr>
                </pic:pic>
              </a:graphicData>
            </a:graphic>
          </wp:inline>
        </w:drawing>
      </w:r>
      <w:r w:rsidRPr="00026DF6">
        <w:t xml:space="preserve"> </w:t>
      </w:r>
      <w:bookmarkStart w:id="0" w:name="_GoBack"/>
      <w:bookmarkEnd w:id="0"/>
    </w:p>
    <w:p w:rsidR="00B97EC5" w:rsidRPr="00762129" w:rsidRDefault="00B97EC5" w:rsidP="00B97EC5">
      <w:pPr>
        <w:pStyle w:val="caption0"/>
        <w:rPr>
          <w:b/>
          <w:bCs/>
          <w:noProof/>
          <w:color w:val="808080" w:themeColor="background1" w:themeShade="80"/>
          <w:kern w:val="32"/>
        </w:rPr>
      </w:pPr>
      <w:r>
        <w:rPr>
          <w:color w:val="808080" w:themeColor="background1" w:themeShade="80"/>
        </w:rPr>
        <w:t xml:space="preserve">Figure </w:t>
      </w:r>
      <w:r>
        <w:rPr>
          <w:color w:val="808080" w:themeColor="background1" w:themeShade="80"/>
        </w:rPr>
        <w:t>4.</w:t>
      </w:r>
      <w:r>
        <w:rPr>
          <w:color w:val="808080" w:themeColor="background1" w:themeShade="80"/>
        </w:rPr>
        <w:t xml:space="preserve"> Lenticel severity and brix* of ripe NMBP 1243</w:t>
      </w:r>
    </w:p>
    <w:p w:rsidR="00B97EC5" w:rsidRDefault="00B97EC5" w:rsidP="00B97EC5">
      <w:pPr>
        <w:pStyle w:val="Caption"/>
      </w:pPr>
      <w:r w:rsidRPr="002F3946">
        <w:rPr>
          <w:noProof/>
          <w:color w:val="FF0000"/>
          <w:lang w:eastAsia="en-AU"/>
        </w:rPr>
        <w:lastRenderedPageBreak/>
        <w:drawing>
          <wp:inline distT="0" distB="0" distL="0" distR="0" wp14:anchorId="29324E4C" wp14:editId="09F27F25">
            <wp:extent cx="3497580" cy="2737758"/>
            <wp:effectExtent l="0" t="0" r="7620" b="5715"/>
            <wp:docPr id="11" name="Picture 8" descr="Graph Jelly seed vs treatments" title="Graph Jelly seed vs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28667" cy="2762091"/>
                    </a:xfrm>
                    <a:prstGeom prst="rect">
                      <a:avLst/>
                    </a:prstGeom>
                  </pic:spPr>
                </pic:pic>
              </a:graphicData>
            </a:graphic>
          </wp:inline>
        </w:drawing>
      </w:r>
    </w:p>
    <w:p w:rsidR="00B97EC5" w:rsidRDefault="00B97EC5" w:rsidP="00B97EC5">
      <w:pPr>
        <w:pStyle w:val="caption0"/>
        <w:rPr>
          <w:color w:val="808080" w:themeColor="background1" w:themeShade="80"/>
        </w:rPr>
      </w:pPr>
      <w:r>
        <w:rPr>
          <w:color w:val="808080" w:themeColor="background1" w:themeShade="80"/>
        </w:rPr>
        <w:t>Figure</w:t>
      </w:r>
      <w:r>
        <w:rPr>
          <w:noProof/>
          <w:color w:val="808080" w:themeColor="background1" w:themeShade="80"/>
        </w:rPr>
        <w:t xml:space="preserve"> 5</w:t>
      </w:r>
      <w:r>
        <w:rPr>
          <w:color w:val="808080" w:themeColor="background1" w:themeShade="80"/>
        </w:rPr>
        <w:t>. Incidence (%) of Jelly Seed in fruit treated with heat disinfestation</w:t>
      </w:r>
    </w:p>
    <w:p w:rsidR="00B97EC5" w:rsidRDefault="00B97EC5" w:rsidP="00B97EC5">
      <w:pPr>
        <w:pStyle w:val="Heading1"/>
        <w:numPr>
          <w:ilvl w:val="0"/>
          <w:numId w:val="0"/>
        </w:numPr>
      </w:pPr>
      <w:r w:rsidRPr="00026DF6">
        <w:t xml:space="preserve">For </w:t>
      </w:r>
      <w:r>
        <w:t>more information</w:t>
      </w:r>
      <w:r w:rsidRPr="00026DF6">
        <w:t xml:space="preserve">: </w:t>
      </w:r>
    </w:p>
    <w:p w:rsidR="00B97EC5" w:rsidRPr="00872825" w:rsidRDefault="00B97EC5" w:rsidP="00B97EC5">
      <w:r>
        <w:t>Dr Cameron McConchie</w:t>
      </w:r>
      <w:r>
        <w:br/>
      </w:r>
      <w:r w:rsidRPr="00026DF6">
        <w:t>Research Leader, Plant Industries Branc</w:t>
      </w:r>
      <w:r>
        <w:t>h, NT DPIR</w:t>
      </w:r>
      <w:r>
        <w:br/>
      </w:r>
      <w:r w:rsidRPr="00026DF6">
        <w:rPr>
          <w:b/>
        </w:rPr>
        <w:t>P:</w:t>
      </w:r>
      <w:r>
        <w:t xml:space="preserve"> +61 8 8999 2310;</w:t>
      </w:r>
      <w:r w:rsidRPr="00026DF6">
        <w:tab/>
      </w:r>
      <w:r w:rsidRPr="00026DF6">
        <w:rPr>
          <w:b/>
        </w:rPr>
        <w:t>E:</w:t>
      </w:r>
      <w:r w:rsidRPr="00026DF6">
        <w:t xml:space="preserve"> </w:t>
      </w:r>
      <w:r w:rsidRPr="00872825">
        <w:rPr>
          <w:rStyle w:val="Hyperlink"/>
          <w:rFonts w:ascii="Lato" w:hAnsi="Lato"/>
        </w:rPr>
        <w:t>Cameron.McConchie@nt.gov.au</w:t>
      </w:r>
    </w:p>
    <w:sectPr w:rsidR="00B97EC5" w:rsidRPr="00872825" w:rsidSect="00705C9D">
      <w:headerReference w:type="default" r:id="rId13"/>
      <w:footerReference w:type="default" r:id="rId14"/>
      <w:headerReference w:type="first" r:id="rId15"/>
      <w:footerReference w:type="first" r:id="rId16"/>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C5" w:rsidRDefault="00DF72C5" w:rsidP="007332FF">
      <w:r>
        <w:separator/>
      </w:r>
    </w:p>
  </w:endnote>
  <w:endnote w:type="continuationSeparator" w:id="0">
    <w:p w:rsidR="00DF72C5" w:rsidRDefault="00DF72C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401"/>
      <w:gridCol w:w="1939"/>
    </w:tblGrid>
    <w:tr w:rsidR="00983000" w:rsidRPr="00132658" w:rsidTr="0043465D">
      <w:trPr>
        <w:cantSplit/>
        <w:trHeight w:hRule="exact" w:val="1400"/>
        <w:tblHeader/>
      </w:trPr>
      <w:tc>
        <w:tcPr>
          <w:tcW w:w="8931" w:type="dxa"/>
          <w:vAlign w:val="center"/>
        </w:tcPr>
        <w:p w:rsidR="00983000" w:rsidRPr="00705C9D" w:rsidRDefault="00983000" w:rsidP="00B11C67">
          <w:pPr>
            <w:pStyle w:val="NTGFooter1items"/>
            <w:rPr>
              <w:rStyle w:val="NTGFooterDepartmentNameChar"/>
            </w:rPr>
          </w:pPr>
          <w:r>
            <w:rPr>
              <w:rStyle w:val="NTGFooterDepartmentofChar"/>
            </w:rPr>
            <w:t xml:space="preserve">DEPARTMENT OF </w:t>
          </w:r>
          <w:r w:rsidR="00B97EC5">
            <w:rPr>
              <w:rStyle w:val="NTGFooterDepartmentNameChar"/>
            </w:rPr>
            <w:t>PRIMARY INDUSTRY AND RESOURCES</w:t>
          </w:r>
        </w:p>
        <w:p w:rsidR="00983000" w:rsidRPr="007B5DA2" w:rsidRDefault="00B97EC5" w:rsidP="000E342B">
          <w:pPr>
            <w:pStyle w:val="NTGFooter1items"/>
          </w:pPr>
          <w:r>
            <w:rPr>
              <w:rStyle w:val="NTGFooter1itemsChar"/>
            </w:rPr>
            <w:t>May 2019</w:t>
          </w:r>
        </w:p>
      </w:tc>
      <w:tc>
        <w:tcPr>
          <w:tcW w:w="1842" w:type="dxa"/>
          <w:vAlign w:val="center"/>
        </w:tcPr>
        <w:p w:rsidR="00983000" w:rsidRPr="00DC1F0F" w:rsidRDefault="00983000" w:rsidP="00B11C67">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B97EC5">
            <w:rPr>
              <w:noProof/>
              <w:sz w:val="20"/>
            </w:rPr>
            <w:t>3</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B97EC5">
            <w:rPr>
              <w:noProof/>
              <w:sz w:val="20"/>
            </w:rPr>
            <w:t>3</w:t>
          </w:r>
          <w:r w:rsidRPr="00DC1F0F">
            <w:rPr>
              <w:noProof/>
              <w:sz w:val="20"/>
            </w:rPr>
            <w:fldChar w:fldCharType="end"/>
          </w:r>
        </w:p>
      </w:tc>
    </w:tr>
  </w:tbl>
  <w:p w:rsidR="00983000" w:rsidRPr="00B11C67" w:rsidRDefault="00983000" w:rsidP="00B11C67">
    <w:pPr>
      <w:pStyle w:val="Footer"/>
      <w:rPr>
        <w:rStyle w:val="NTGFooter2deptpagenumCha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210"/>
      <w:gridCol w:w="2130"/>
    </w:tblGrid>
    <w:tr w:rsidR="00983000" w:rsidRPr="00132658" w:rsidTr="0043465D">
      <w:trPr>
        <w:cantSplit/>
        <w:trHeight w:hRule="exact" w:val="1400"/>
        <w:tblHeader/>
      </w:trPr>
      <w:tc>
        <w:tcPr>
          <w:tcW w:w="9210" w:type="dxa"/>
          <w:vAlign w:val="center"/>
        </w:tcPr>
        <w:p w:rsidR="00983000" w:rsidRPr="00705C9D" w:rsidRDefault="00983000" w:rsidP="007B5DA2">
          <w:pPr>
            <w:pStyle w:val="NTGFooter1items"/>
            <w:rPr>
              <w:rStyle w:val="NTGFooterDepartmentNameChar"/>
            </w:rPr>
          </w:pPr>
          <w:r>
            <w:rPr>
              <w:rStyle w:val="NTGFooterDepartmentofChar"/>
            </w:rPr>
            <w:t xml:space="preserve">DEPARTMENT OF </w:t>
          </w:r>
          <w:r w:rsidR="00B97EC5">
            <w:rPr>
              <w:rStyle w:val="NTGFooterDepartmentofChar"/>
              <w:rFonts w:ascii="Arial Black" w:hAnsi="Arial Black"/>
            </w:rPr>
            <w:t>primary industry and resources</w:t>
          </w:r>
        </w:p>
        <w:p w:rsidR="00983000" w:rsidRPr="007B5DA2" w:rsidRDefault="00983000" w:rsidP="000E342B">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B97EC5">
            <w:rPr>
              <w:noProof/>
            </w:rPr>
            <w:t>1</w:t>
          </w:r>
          <w:r w:rsidRPr="007B5DA2">
            <w:fldChar w:fldCharType="end"/>
          </w:r>
          <w:r w:rsidRPr="007B5DA2">
            <w:t xml:space="preserve"> of </w:t>
          </w:r>
          <w:r w:rsidR="00DB6D0A">
            <w:rPr>
              <w:noProof/>
            </w:rPr>
            <w:fldChar w:fldCharType="begin"/>
          </w:r>
          <w:r w:rsidR="00DB6D0A">
            <w:rPr>
              <w:noProof/>
            </w:rPr>
            <w:instrText xml:space="preserve"> NUMPAGES  \* Arabic  \* MERGEFORMAT </w:instrText>
          </w:r>
          <w:r w:rsidR="00DB6D0A">
            <w:rPr>
              <w:noProof/>
            </w:rPr>
            <w:fldChar w:fldCharType="separate"/>
          </w:r>
          <w:r w:rsidR="00B97EC5">
            <w:rPr>
              <w:noProof/>
            </w:rPr>
            <w:t>3</w:t>
          </w:r>
          <w:r w:rsidR="00DB6D0A">
            <w:rPr>
              <w:noProof/>
            </w:rPr>
            <w:fldChar w:fldCharType="end"/>
          </w:r>
          <w:r w:rsidRPr="007B5DA2">
            <w:tab/>
          </w:r>
          <w:r w:rsidR="00B97EC5">
            <w:rPr>
              <w:rStyle w:val="NTGFooter1itemsChar"/>
            </w:rPr>
            <w:t>May 2019</w:t>
          </w:r>
        </w:p>
      </w:tc>
      <w:tc>
        <w:tcPr>
          <w:tcW w:w="2130" w:type="dxa"/>
          <w:vAlign w:val="center"/>
        </w:tcPr>
        <w:p w:rsidR="00983000" w:rsidRPr="001E14EB" w:rsidRDefault="00983000" w:rsidP="00B606A1">
          <w:pPr>
            <w:spacing w:after="0"/>
            <w:jc w:val="right"/>
          </w:pPr>
          <w:r>
            <w:rPr>
              <w:noProof/>
              <w:lang w:eastAsia="en-AU"/>
            </w:rPr>
            <w:drawing>
              <wp:inline distT="0" distB="0" distL="0" distR="0" wp14:anchorId="79DA9CA5" wp14:editId="52B858B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C5" w:rsidRDefault="00DF72C5" w:rsidP="007332FF">
      <w:r>
        <w:separator/>
      </w:r>
    </w:p>
  </w:footnote>
  <w:footnote w:type="continuationSeparator" w:id="0">
    <w:p w:rsidR="00DF72C5" w:rsidRDefault="00DF72C5"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B97EC5" w:rsidP="002926BC">
        <w:pPr>
          <w:pStyle w:val="Header"/>
          <w:tabs>
            <w:tab w:val="clear" w:pos="9026"/>
          </w:tabs>
          <w:ind w:right="-568"/>
        </w:pPr>
        <w:r>
          <w:t>Fruit fly disinfestation of mango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rsidR="00983000" w:rsidRDefault="00B97EC5" w:rsidP="0050530C">
        <w:pPr>
          <w:pStyle w:val="Title"/>
        </w:pPr>
        <w:r>
          <w:t>Fruit fly disinfestation of mango</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6DA2CAE"/>
    <w:multiLevelType w:val="multilevel"/>
    <w:tmpl w:val="3E5E177A"/>
    <w:name w:val="NTG Table Bullet List332222222222222"/>
    <w:numStyleLink w:val="Tablenumberlist"/>
  </w:abstractNum>
  <w:abstractNum w:abstractNumId="48" w15:restartNumberingAfterBreak="0">
    <w:nsid w:val="583359D9"/>
    <w:multiLevelType w:val="multilevel"/>
    <w:tmpl w:val="3E5E177A"/>
    <w:name w:val="NTG Table Bullet List332222222"/>
    <w:numStyleLink w:val="Tablenumberlist"/>
  </w:abstractNum>
  <w:abstractNum w:abstractNumId="49"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8E21323"/>
    <w:multiLevelType w:val="multilevel"/>
    <w:tmpl w:val="4E6AC8F6"/>
    <w:numStyleLink w:val="Numberlist"/>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D444259"/>
    <w:multiLevelType w:val="multilevel"/>
    <w:tmpl w:val="0C78A7AC"/>
    <w:name w:val="NTG Table Bullet List332222"/>
    <w:numStyleLink w:val="Tablebulletlist"/>
  </w:abstractNum>
  <w:abstractNum w:abstractNumId="54"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264DA8"/>
    <w:multiLevelType w:val="hybridMultilevel"/>
    <w:tmpl w:val="33E40A54"/>
    <w:lvl w:ilvl="0" w:tplc="B32E5C5A">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7"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59"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65A32D4"/>
    <w:multiLevelType w:val="multilevel"/>
    <w:tmpl w:val="4E6AC8F6"/>
    <w:numStyleLink w:val="Numberlist"/>
  </w:abstractNum>
  <w:abstractNum w:abstractNumId="66"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9"/>
  </w:num>
  <w:num w:numId="3">
    <w:abstractNumId w:val="67"/>
  </w:num>
  <w:num w:numId="4">
    <w:abstractNumId w:val="39"/>
  </w:num>
  <w:num w:numId="5">
    <w:abstractNumId w:val="25"/>
  </w:num>
  <w:num w:numId="6">
    <w:abstractNumId w:val="13"/>
  </w:num>
  <w:num w:numId="7">
    <w:abstractNumId w:val="44"/>
  </w:num>
  <w:num w:numId="8">
    <w:abstractNumId w:val="22"/>
  </w:num>
  <w:num w:numId="9">
    <w:abstractNumId w:val="51"/>
  </w:num>
  <w:num w:numId="10">
    <w:abstractNumId w:val="18"/>
  </w:num>
  <w:num w:numId="11">
    <w:abstractNumId w:val="57"/>
  </w:num>
  <w:num w:numId="12">
    <w:abstractNumId w:val="15"/>
  </w:num>
  <w:num w:numId="13">
    <w:abstractNumId w:val="1"/>
  </w:num>
  <w:num w:numId="14">
    <w:abstractNumId w:val="54"/>
  </w:num>
  <w:num w:numId="15">
    <w:abstractNumId w:val="24"/>
  </w:num>
  <w:num w:numId="16">
    <w:abstractNumId w:val="56"/>
  </w:num>
  <w:num w:numId="17">
    <w:abstractNumId w:val="65"/>
  </w:num>
  <w:num w:numId="18">
    <w:abstractNumId w:val="50"/>
  </w:num>
  <w:num w:numId="19">
    <w:abstractNumId w:val="42"/>
  </w:num>
  <w:num w:numId="20">
    <w:abstractNumId w:val="46"/>
  </w:num>
  <w:num w:numId="21">
    <w:abstractNumId w:val="35"/>
  </w:num>
  <w:num w:numId="22">
    <w:abstractNumId w:val="49"/>
  </w:num>
  <w:num w:numId="23">
    <w:abstractNumId w:val="41"/>
  </w:num>
  <w:num w:numId="24">
    <w:abstractNumId w:val="37"/>
  </w:num>
  <w:num w:numId="25">
    <w:abstractNumId w:val="33"/>
  </w:num>
  <w:num w:numId="26">
    <w:abstractNumId w:val="9"/>
  </w:num>
  <w:num w:numId="27">
    <w:abstractNumId w:val="66"/>
  </w:num>
  <w:num w:numId="28">
    <w:abstractNumId w:val="32"/>
  </w:num>
  <w:num w:numId="29">
    <w:abstractNumId w:val="26"/>
  </w:num>
  <w:num w:numId="30">
    <w:abstractNumId w:val="0"/>
  </w:num>
  <w:num w:numId="31">
    <w:abstractNumId w:val="36"/>
  </w:num>
  <w:num w:numId="32">
    <w:abstractNumId w:val="8"/>
  </w:num>
  <w:num w:numId="33">
    <w:abstractNumId w:val="58"/>
  </w:num>
  <w:num w:numId="34">
    <w:abstractNumId w:val="29"/>
  </w:num>
  <w:num w:numId="35">
    <w:abstractNumId w:val="43"/>
  </w:num>
  <w:num w:numId="36">
    <w:abstractNumId w:val="59"/>
  </w:num>
  <w:num w:numId="37">
    <w:abstractNumId w:val="61"/>
  </w:num>
  <w:num w:numId="38">
    <w:abstractNumId w:val="12"/>
  </w:num>
  <w:num w:numId="39">
    <w:abstractNumId w:val="23"/>
  </w:num>
  <w:num w:numId="40">
    <w:abstractNumId w:val="62"/>
  </w:num>
  <w:num w:numId="41">
    <w:abstractNumId w:val="2"/>
  </w:num>
  <w:num w:numId="42">
    <w:abstractNumId w:val="5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C5"/>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5DD2"/>
    <w:rsid w:val="000F2958"/>
    <w:rsid w:val="000F3850"/>
    <w:rsid w:val="00104E7F"/>
    <w:rsid w:val="001137EC"/>
    <w:rsid w:val="001152F5"/>
    <w:rsid w:val="00117743"/>
    <w:rsid w:val="00117F5B"/>
    <w:rsid w:val="00132658"/>
    <w:rsid w:val="00150DC0"/>
    <w:rsid w:val="00156CD4"/>
    <w:rsid w:val="0016153B"/>
    <w:rsid w:val="00164A3E"/>
    <w:rsid w:val="00166FF6"/>
    <w:rsid w:val="00176123"/>
    <w:rsid w:val="00181620"/>
    <w:rsid w:val="00187130"/>
    <w:rsid w:val="001957AD"/>
    <w:rsid w:val="001A2B7F"/>
    <w:rsid w:val="001A3AFD"/>
    <w:rsid w:val="001A496C"/>
    <w:rsid w:val="001A576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5386"/>
    <w:rsid w:val="00597234"/>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70CF"/>
    <w:rsid w:val="007E74A4"/>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35A9"/>
    <w:rsid w:val="00877BC5"/>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902B13"/>
    <w:rsid w:val="00911941"/>
    <w:rsid w:val="0092024D"/>
    <w:rsid w:val="00925F0F"/>
    <w:rsid w:val="00932F6B"/>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76790"/>
    <w:rsid w:val="00A925EC"/>
    <w:rsid w:val="00A929AA"/>
    <w:rsid w:val="00A92B6B"/>
    <w:rsid w:val="00AA541E"/>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97EC5"/>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640F"/>
    <w:rsid w:val="00CE76BC"/>
    <w:rsid w:val="00CF540E"/>
    <w:rsid w:val="00D02F07"/>
    <w:rsid w:val="00D27EBE"/>
    <w:rsid w:val="00D36A49"/>
    <w:rsid w:val="00D517C6"/>
    <w:rsid w:val="00D71D84"/>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DF72C5"/>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61BA2"/>
    <w:rsid w:val="00E63864"/>
    <w:rsid w:val="00E6403F"/>
    <w:rsid w:val="00E75451"/>
    <w:rsid w:val="00E770C4"/>
    <w:rsid w:val="00E84C5A"/>
    <w:rsid w:val="00E861DB"/>
    <w:rsid w:val="00E93406"/>
    <w:rsid w:val="00E956C5"/>
    <w:rsid w:val="00E95C39"/>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9D530-7F30-451D-A5E6-63A96C8C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C5"/>
  </w:style>
  <w:style w:type="paragraph" w:styleId="Heading1">
    <w:name w:val="heading 1"/>
    <w:basedOn w:val="Heading2"/>
    <w:next w:val="Normal"/>
    <w:link w:val="Heading1Char"/>
    <w:uiPriority w:val="1"/>
    <w:qFormat/>
    <w:rsid w:val="00B97EC5"/>
    <w:pPr>
      <w:numPr>
        <w:numId w:val="42"/>
      </w:numPr>
      <w:outlineLvl w:val="0"/>
    </w:pPr>
    <w:rPr>
      <w:color w:val="auto"/>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B97EC5"/>
    <w:rPr>
      <w:rFonts w:eastAsiaTheme="majorEastAsia" w:cstheme="majorBidi"/>
      <w:b/>
      <w:bCs/>
      <w:iCs/>
      <w:sz w:val="28"/>
      <w:szCs w:val="28"/>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semiHidden/>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link w:val="CaptionChar"/>
    <w:uiPriority w:val="35"/>
    <w:unhideWhenUsed/>
    <w:rsid w:val="00F858F2"/>
    <w:rPr>
      <w:iCs/>
      <w:sz w:val="20"/>
      <w:szCs w:val="18"/>
    </w:rPr>
  </w:style>
  <w:style w:type="paragraph" w:customStyle="1" w:styleId="Subheading">
    <w:name w:val="Subheading"/>
    <w:uiPriority w:val="99"/>
    <w:semiHidden/>
    <w:rsid w:val="00B97EC5"/>
    <w:pPr>
      <w:spacing w:before="360" w:after="360"/>
    </w:pPr>
    <w:rPr>
      <w:rFonts w:eastAsia="Times New Roman" w:cs="Arial"/>
      <w:b/>
      <w:color w:val="CB6015"/>
      <w:sz w:val="36"/>
      <w:szCs w:val="36"/>
      <w:lang w:eastAsia="en-AU"/>
    </w:rPr>
  </w:style>
  <w:style w:type="paragraph" w:customStyle="1" w:styleId="caption0">
    <w:name w:val="caption"/>
    <w:basedOn w:val="Caption"/>
    <w:link w:val="captionChar0"/>
    <w:qFormat/>
    <w:rsid w:val="00B97EC5"/>
    <w:rPr>
      <w:color w:val="808080" w:themeColor="background1" w:themeShade="80"/>
      <w:sz w:val="18"/>
    </w:rPr>
  </w:style>
  <w:style w:type="character" w:customStyle="1" w:styleId="CaptionChar">
    <w:name w:val="Caption Char"/>
    <w:basedOn w:val="DefaultParagraphFont"/>
    <w:link w:val="Caption"/>
    <w:uiPriority w:val="35"/>
    <w:rsid w:val="00B97EC5"/>
    <w:rPr>
      <w:iCs/>
      <w:sz w:val="20"/>
      <w:szCs w:val="18"/>
    </w:rPr>
  </w:style>
  <w:style w:type="character" w:customStyle="1" w:styleId="captionChar0">
    <w:name w:val="caption Char"/>
    <w:basedOn w:val="CaptionChar"/>
    <w:link w:val="caption0"/>
    <w:rsid w:val="00B97EC5"/>
    <w:rPr>
      <w:iCs/>
      <w:color w:val="808080" w:themeColor="background1"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General%20portrai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88355024471243"/>
          <c:y val="6.1762990641521277E-2"/>
          <c:w val="0.73896668367087626"/>
          <c:h val="0.75673712459159903"/>
        </c:manualLayout>
      </c:layout>
      <c:barChart>
        <c:barDir val="col"/>
        <c:grouping val="clustered"/>
        <c:varyColors val="0"/>
        <c:ser>
          <c:idx val="0"/>
          <c:order val="0"/>
          <c:tx>
            <c:strRef>
              <c:f>Sheet1!$B$1</c:f>
              <c:strCache>
                <c:ptCount val="1"/>
                <c:pt idx="0">
                  <c:v>Incidence of RCD (%)</c:v>
                </c:pt>
              </c:strCache>
            </c:strRef>
          </c:tx>
          <c:spPr>
            <a:noFill/>
            <a:ln w="19050">
              <a:solidFill>
                <a:srgbClr val="476F97"/>
              </a:solidFill>
            </a:ln>
            <a:effectLst/>
          </c:spPr>
          <c:invertIfNegative val="0"/>
          <c:errBars>
            <c:errBarType val="both"/>
            <c:errValType val="cust"/>
            <c:noEndCap val="0"/>
            <c:plus>
              <c:numRef>
                <c:f>Sheet1!$E$2:$E$5</c:f>
                <c:numCache>
                  <c:formatCode>General</c:formatCode>
                  <c:ptCount val="4"/>
                  <c:pt idx="0">
                    <c:v>3.1</c:v>
                  </c:pt>
                  <c:pt idx="1">
                    <c:v>1.25</c:v>
                  </c:pt>
                  <c:pt idx="2">
                    <c:v>2.14</c:v>
                  </c:pt>
                  <c:pt idx="3">
                    <c:v>1.99</c:v>
                  </c:pt>
                </c:numCache>
              </c:numRef>
            </c:plus>
            <c:minus>
              <c:numRef>
                <c:f>Sheet1!$E$2:$E$5</c:f>
                <c:numCache>
                  <c:formatCode>General</c:formatCode>
                  <c:ptCount val="4"/>
                  <c:pt idx="0">
                    <c:v>3.1</c:v>
                  </c:pt>
                  <c:pt idx="1">
                    <c:v>1.25</c:v>
                  </c:pt>
                  <c:pt idx="2">
                    <c:v>2.14</c:v>
                  </c:pt>
                  <c:pt idx="3">
                    <c:v>1.99</c:v>
                  </c:pt>
                </c:numCache>
              </c:numRef>
            </c:minus>
            <c:spPr>
              <a:noFill/>
              <a:ln w="9525" cap="flat" cmpd="sng" algn="ctr">
                <a:solidFill>
                  <a:schemeClr val="tx1">
                    <a:lumMod val="65000"/>
                    <a:lumOff val="35000"/>
                  </a:schemeClr>
                </a:solidFill>
                <a:round/>
              </a:ln>
              <a:effectLst/>
            </c:spPr>
          </c:errBars>
          <c:cat>
            <c:strRef>
              <c:f>Sheet1!$A$2:$A$5</c:f>
              <c:strCache>
                <c:ptCount val="4"/>
                <c:pt idx="0">
                  <c:v>Control</c:v>
                </c:pt>
                <c:pt idx="1">
                  <c:v>VHT</c:v>
                </c:pt>
                <c:pt idx="2">
                  <c:v>HWT + Cond.</c:v>
                </c:pt>
                <c:pt idx="3">
                  <c:v>HWT</c:v>
                </c:pt>
              </c:strCache>
            </c:strRef>
          </c:cat>
          <c:val>
            <c:numRef>
              <c:f>Sheet1!$B$2:$B$5</c:f>
              <c:numCache>
                <c:formatCode>General</c:formatCode>
                <c:ptCount val="4"/>
                <c:pt idx="0">
                  <c:v>23.78</c:v>
                </c:pt>
                <c:pt idx="1">
                  <c:v>10.32</c:v>
                </c:pt>
                <c:pt idx="2">
                  <c:v>5.19</c:v>
                </c:pt>
                <c:pt idx="3">
                  <c:v>1.25</c:v>
                </c:pt>
              </c:numCache>
            </c:numRef>
          </c:val>
          <c:extLst xmlns:c16r2="http://schemas.microsoft.com/office/drawing/2015/06/chart">
            <c:ext xmlns:c16="http://schemas.microsoft.com/office/drawing/2014/chart" uri="{C3380CC4-5D6E-409C-BE32-E72D297353CC}">
              <c16:uniqueId val="{00000000-F92E-409C-90E7-53C885C3DF2A}"/>
            </c:ext>
          </c:extLst>
        </c:ser>
        <c:dLbls>
          <c:showLegendKey val="0"/>
          <c:showVal val="0"/>
          <c:showCatName val="0"/>
          <c:showSerName val="0"/>
          <c:showPercent val="0"/>
          <c:showBubbleSize val="0"/>
        </c:dLbls>
        <c:gapWidth val="219"/>
        <c:overlap val="-27"/>
        <c:axId val="449652208"/>
        <c:axId val="665764448"/>
      </c:barChart>
      <c:catAx>
        <c:axId val="4496522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5764448"/>
        <c:crosses val="autoZero"/>
        <c:auto val="1"/>
        <c:lblAlgn val="ctr"/>
        <c:lblOffset val="100"/>
        <c:noMultiLvlLbl val="0"/>
      </c:catAx>
      <c:valAx>
        <c:axId val="6657644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a:t>Incidence of RCD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49652208"/>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43948415126093"/>
          <c:y val="6.1763054463784391E-2"/>
          <c:w val="0.73896668367087626"/>
          <c:h val="0.75673712459159903"/>
        </c:manualLayout>
      </c:layout>
      <c:barChart>
        <c:barDir val="col"/>
        <c:grouping val="clustered"/>
        <c:varyColors val="0"/>
        <c:ser>
          <c:idx val="0"/>
          <c:order val="0"/>
          <c:tx>
            <c:strRef>
              <c:f>Sheet1!$B$1</c:f>
              <c:strCache>
                <c:ptCount val="1"/>
                <c:pt idx="0">
                  <c:v>Incidence of RCD (%)</c:v>
                </c:pt>
              </c:strCache>
            </c:strRef>
          </c:tx>
          <c:spPr>
            <a:noFill/>
            <a:ln w="19050">
              <a:solidFill>
                <a:srgbClr val="476F97"/>
              </a:solidFill>
            </a:ln>
            <a:effectLst/>
          </c:spPr>
          <c:invertIfNegative val="0"/>
          <c:errBars>
            <c:errBarType val="both"/>
            <c:errValType val="cust"/>
            <c:noEndCap val="0"/>
            <c:plus>
              <c:numRef>
                <c:f>Sheet1!$E$2:$E$5</c:f>
                <c:numCache>
                  <c:formatCode>General</c:formatCode>
                  <c:ptCount val="4"/>
                  <c:pt idx="0">
                    <c:v>3.1</c:v>
                  </c:pt>
                  <c:pt idx="1">
                    <c:v>1.25</c:v>
                  </c:pt>
                  <c:pt idx="2">
                    <c:v>2.14</c:v>
                  </c:pt>
                  <c:pt idx="3">
                    <c:v>1.99</c:v>
                  </c:pt>
                </c:numCache>
              </c:numRef>
            </c:plus>
            <c:minus>
              <c:numRef>
                <c:f>Sheet1!$E$2:$E$5</c:f>
                <c:numCache>
                  <c:formatCode>General</c:formatCode>
                  <c:ptCount val="4"/>
                  <c:pt idx="0">
                    <c:v>3.1</c:v>
                  </c:pt>
                  <c:pt idx="1">
                    <c:v>1.25</c:v>
                  </c:pt>
                  <c:pt idx="2">
                    <c:v>2.14</c:v>
                  </c:pt>
                  <c:pt idx="3">
                    <c:v>1.99</c:v>
                  </c:pt>
                </c:numCache>
              </c:numRef>
            </c:minus>
            <c:spPr>
              <a:noFill/>
              <a:ln w="9525" cap="flat" cmpd="sng" algn="ctr">
                <a:solidFill>
                  <a:schemeClr val="tx1">
                    <a:lumMod val="65000"/>
                    <a:lumOff val="35000"/>
                  </a:schemeClr>
                </a:solidFill>
                <a:round/>
              </a:ln>
              <a:effectLst/>
            </c:spPr>
          </c:errBars>
          <c:cat>
            <c:strRef>
              <c:f>Sheet1!$A$2:$A$5</c:f>
              <c:strCache>
                <c:ptCount val="4"/>
                <c:pt idx="0">
                  <c:v>Control</c:v>
                </c:pt>
                <c:pt idx="1">
                  <c:v>VHT</c:v>
                </c:pt>
                <c:pt idx="2">
                  <c:v>HWT + Cond.</c:v>
                </c:pt>
                <c:pt idx="3">
                  <c:v>HWT</c:v>
                </c:pt>
              </c:strCache>
            </c:strRef>
          </c:cat>
          <c:val>
            <c:numRef>
              <c:f>Sheet1!$B$2:$B$5</c:f>
              <c:numCache>
                <c:formatCode>General</c:formatCode>
                <c:ptCount val="4"/>
                <c:pt idx="0">
                  <c:v>23.78</c:v>
                </c:pt>
                <c:pt idx="1">
                  <c:v>10.32</c:v>
                </c:pt>
                <c:pt idx="2">
                  <c:v>5.19</c:v>
                </c:pt>
                <c:pt idx="3">
                  <c:v>1.25</c:v>
                </c:pt>
              </c:numCache>
            </c:numRef>
          </c:val>
          <c:extLst xmlns:c16r2="http://schemas.microsoft.com/office/drawing/2015/06/chart">
            <c:ext xmlns:c16="http://schemas.microsoft.com/office/drawing/2014/chart" uri="{C3380CC4-5D6E-409C-BE32-E72D297353CC}">
              <c16:uniqueId val="{00000000-C721-471D-BDDA-488D98A34A9A}"/>
            </c:ext>
          </c:extLst>
        </c:ser>
        <c:dLbls>
          <c:showLegendKey val="0"/>
          <c:showVal val="0"/>
          <c:showCatName val="0"/>
          <c:showSerName val="0"/>
          <c:showPercent val="0"/>
          <c:showBubbleSize val="0"/>
        </c:dLbls>
        <c:gapWidth val="219"/>
        <c:overlap val="-27"/>
        <c:axId val="665765232"/>
        <c:axId val="662226264"/>
      </c:barChart>
      <c:catAx>
        <c:axId val="6657652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2226264"/>
        <c:crosses val="autoZero"/>
        <c:auto val="1"/>
        <c:lblAlgn val="ctr"/>
        <c:lblOffset val="100"/>
        <c:noMultiLvlLbl val="0"/>
      </c:catAx>
      <c:valAx>
        <c:axId val="662226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a:t>Incidence of RCD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65765232"/>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86611-FF2C-4DF4-96A6-EE478FD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portrait.dotx</Template>
  <TotalTime>7</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&lt;Document title&gt;</vt:lpstr>
    </vt:vector>
  </TitlesOfParts>
  <Company>Northern Territory Government</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fly disinfestation of mango</dc:title>
  <dc:creator>Northern Territory Government</dc:creator>
  <cp:lastModifiedBy>Vanessa Madrill</cp:lastModifiedBy>
  <cp:revision>1</cp:revision>
  <cp:lastPrinted>2016-02-04T04:37:00Z</cp:lastPrinted>
  <dcterms:created xsi:type="dcterms:W3CDTF">2019-06-19T02:00:00Z</dcterms:created>
  <dcterms:modified xsi:type="dcterms:W3CDTF">2019-06-19T02:07:00Z</dcterms:modified>
</cp:coreProperties>
</file>