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6CB" w:rsidRDefault="008236CB" w:rsidP="00E942BC">
      <w:r>
        <w:t xml:space="preserve">This advisory note is issued in response to the Board’s concerns that some veterinarians may not be aware of the full extent of the professional and statutory obligations to be met and borne by veterinarians when prescribing and supplying drugs to non-veterinarians and the associated record keeping requirements. </w:t>
      </w:r>
    </w:p>
    <w:p w:rsidR="00F7430D" w:rsidRPr="0038274A" w:rsidRDefault="008236CB" w:rsidP="00E942BC">
      <w:pPr>
        <w:pStyle w:val="Heading2"/>
      </w:pPr>
      <w:r w:rsidRPr="0038274A">
        <w:t xml:space="preserve">Statutory </w:t>
      </w:r>
      <w:r w:rsidR="00D23E0B" w:rsidRPr="0038274A">
        <w:t>r</w:t>
      </w:r>
      <w:r w:rsidRPr="0038274A">
        <w:t>esponsibilities</w:t>
      </w:r>
    </w:p>
    <w:p w:rsidR="008236CB" w:rsidRDefault="008236CB" w:rsidP="00E942BC">
      <w:r>
        <w:t>It is the duty of registered veterinarians to be aware of their responsibilities under the laws relating to their professional practice.  Clause 1(1</w:t>
      </w:r>
      <w:proofErr w:type="gramStart"/>
      <w:r>
        <w:t>)(</w:t>
      </w:r>
      <w:proofErr w:type="gramEnd"/>
      <w:r>
        <w:t xml:space="preserve">b) and clause 28 of the Code of Conduct prescribed in  the Northern Territory Veterinarians Regulations require registered veterinarians “to be familiar with  and abide by all relevant legislation affecting their professional activity and behaviour”, including the </w:t>
      </w:r>
      <w:r w:rsidRPr="00A7026B">
        <w:rPr>
          <w:i/>
        </w:rPr>
        <w:t>Veterinarians Act</w:t>
      </w:r>
      <w:r>
        <w:t xml:space="preserve">, Veterinarians Regulations, the </w:t>
      </w:r>
      <w:r w:rsidRPr="00A7026B">
        <w:rPr>
          <w:i/>
        </w:rPr>
        <w:t>Animal Welfare Act</w:t>
      </w:r>
      <w:r>
        <w:t xml:space="preserve">, the </w:t>
      </w:r>
      <w:r w:rsidRPr="00A7026B">
        <w:rPr>
          <w:i/>
        </w:rPr>
        <w:t>Medicines, Poisons and Therap</w:t>
      </w:r>
      <w:r w:rsidR="00F7430D" w:rsidRPr="00A7026B">
        <w:rPr>
          <w:i/>
        </w:rPr>
        <w:t>eutic Goods Act</w:t>
      </w:r>
      <w:r w:rsidR="00F7430D">
        <w:t xml:space="preserve"> and Regulations</w:t>
      </w:r>
      <w:r>
        <w:t xml:space="preserve"> and the </w:t>
      </w:r>
      <w:r w:rsidRPr="00A7026B">
        <w:rPr>
          <w:i/>
        </w:rPr>
        <w:t>Agricultural and Veterinary Chemicals (Control of Use) Act</w:t>
      </w:r>
      <w:r>
        <w:t xml:space="preserve"> and Regulations </w:t>
      </w:r>
    </w:p>
    <w:p w:rsidR="00F7430D" w:rsidRDefault="008236CB" w:rsidP="00E942BC">
      <w:r>
        <w:t>The Code of Conduct requires that:</w:t>
      </w:r>
    </w:p>
    <w:p w:rsidR="00F7430D" w:rsidRDefault="008236CB" w:rsidP="00E942BC">
      <w:pPr>
        <w:pStyle w:val="ListParagraph"/>
        <w:numPr>
          <w:ilvl w:val="0"/>
          <w:numId w:val="16"/>
        </w:numPr>
      </w:pPr>
      <w:r>
        <w:t xml:space="preserve">“A registered veterinarian must ensure that a detailed record of any consultation, procedure or treatment is made as soon as is practicable” - Clause 16(1). </w:t>
      </w:r>
    </w:p>
    <w:p w:rsidR="00F7430D" w:rsidRDefault="008236CB" w:rsidP="00E942BC">
      <w:pPr>
        <w:pStyle w:val="ListParagraph"/>
        <w:numPr>
          <w:ilvl w:val="0"/>
          <w:numId w:val="16"/>
        </w:numPr>
      </w:pPr>
      <w:r>
        <w:t xml:space="preserve">The record must be legible and contain “sufficient detail to enable another registered veterinarian to continue the treatment of the animal” - Clause 16(3). </w:t>
      </w:r>
    </w:p>
    <w:p w:rsidR="00F7430D" w:rsidRDefault="008236CB" w:rsidP="00E942BC">
      <w:pPr>
        <w:pStyle w:val="ListParagraph"/>
        <w:numPr>
          <w:ilvl w:val="0"/>
          <w:numId w:val="16"/>
        </w:numPr>
      </w:pPr>
      <w:r>
        <w:t xml:space="preserve">A registered veterinarian who provides a client with a drug, or a prescription for a drug, for an animal, must give the client proper directions with respect to the administration of the drug, and advise the client of any safety or other precautions that should be taken in connection with the drug and of any withholding period that may be applicable” - Clause 21. </w:t>
      </w:r>
    </w:p>
    <w:p w:rsidR="008236CB" w:rsidRDefault="008236CB" w:rsidP="00E942BC">
      <w:pPr>
        <w:pStyle w:val="ListParagraph"/>
        <w:numPr>
          <w:ilvl w:val="0"/>
          <w:numId w:val="16"/>
        </w:numPr>
      </w:pPr>
      <w:r>
        <w:t xml:space="preserve"> A registered veterinarian must, when accepting an animal for diagnosis or treatment, ensure that he or she is available for the on-going care of the animal or make arrangements for another registered veterinarian to take over the care of the animal – Clause 9. </w:t>
      </w:r>
    </w:p>
    <w:p w:rsidR="00D25F38" w:rsidRPr="00A7026B" w:rsidRDefault="008236CB" w:rsidP="00E942BC">
      <w:pPr>
        <w:pStyle w:val="Heading2"/>
      </w:pPr>
      <w:r w:rsidRPr="00A7026B">
        <w:t xml:space="preserve"> Authority to </w:t>
      </w:r>
      <w:r w:rsidR="00D23E0B">
        <w:t>p</w:t>
      </w:r>
      <w:r w:rsidRPr="00A7026B">
        <w:t xml:space="preserve">rescribe </w:t>
      </w:r>
    </w:p>
    <w:p w:rsidR="008236CB" w:rsidRDefault="008236CB" w:rsidP="00E942BC">
      <w:r>
        <w:t xml:space="preserve">A veterinarian’s authority to obtain and prescribe Schedule 1,2,3,4,5,6,7 and 8 substances for therapeutic use on an animal, is provided by the </w:t>
      </w:r>
      <w:r w:rsidRPr="00A7026B">
        <w:rPr>
          <w:i/>
        </w:rPr>
        <w:t>Medicines, Poisons and Therapeutic Goods Act</w:t>
      </w:r>
      <w:r>
        <w:t xml:space="preserve">, which regulates the supply, possession and use of poisons and dangerous drugs and includes specific provisions on storage and records keeping.  With this authority comes a responsibility for veterinarians to comply with the legislation and to act in a professional manner.  The </w:t>
      </w:r>
      <w:r w:rsidRPr="00A7026B">
        <w:rPr>
          <w:i/>
        </w:rPr>
        <w:t>Agricultural and Veterinary Chemicals (Control of Use) Act</w:t>
      </w:r>
      <w:r>
        <w:t xml:space="preserve"> and Regulations further prescribe the duties and responsibilities expected of veterinarians in relation to controlling the use of veterinary chemical products.  </w:t>
      </w:r>
    </w:p>
    <w:p w:rsidR="00D25F38" w:rsidRPr="00A7026B" w:rsidRDefault="008236CB" w:rsidP="00E942BC">
      <w:pPr>
        <w:pStyle w:val="Heading2"/>
      </w:pPr>
      <w:r w:rsidRPr="00A7026B">
        <w:t xml:space="preserve">Regulation 7 - Veterinarians Regulations </w:t>
      </w:r>
    </w:p>
    <w:p w:rsidR="008236CB" w:rsidRDefault="008236CB" w:rsidP="00E942BC">
      <w:r>
        <w:t xml:space="preserve">Regulation Number 7 of the Veterinarians Regulations sets out the circumstances in which a veterinarian may supply drugs to a non-veterinarian as follows: </w:t>
      </w:r>
    </w:p>
    <w:p w:rsidR="008236CB" w:rsidRDefault="008236CB" w:rsidP="00E942BC">
      <w:r>
        <w:t xml:space="preserve">Clause 7(1) (b) allows for “the administration to an animal by a person of the following: </w:t>
      </w:r>
    </w:p>
    <w:p w:rsidR="00192C5D" w:rsidRDefault="008236CB" w:rsidP="00E942BC">
      <w:pPr>
        <w:pStyle w:val="ListParagraph"/>
        <w:numPr>
          <w:ilvl w:val="0"/>
          <w:numId w:val="12"/>
        </w:numPr>
      </w:pPr>
      <w:r>
        <w:t xml:space="preserve">a substance in accordance with a permit under the </w:t>
      </w:r>
      <w:r w:rsidRPr="00A7026B">
        <w:rPr>
          <w:i/>
        </w:rPr>
        <w:t>Medicines, Poisons and Therapeutic Goods Act</w:t>
      </w:r>
      <w:r>
        <w:t xml:space="preserve">;  </w:t>
      </w:r>
    </w:p>
    <w:p w:rsidR="008236CB" w:rsidRDefault="008236CB" w:rsidP="00E942BC">
      <w:pPr>
        <w:pStyle w:val="ListParagraph"/>
        <w:numPr>
          <w:ilvl w:val="0"/>
          <w:numId w:val="12"/>
        </w:numPr>
      </w:pPr>
      <w:r>
        <w:t xml:space="preserve">a registered or unregistered veterinary chemical product in accordance with the </w:t>
      </w:r>
      <w:r w:rsidR="00D23E0B">
        <w:t xml:space="preserve"> </w:t>
      </w:r>
      <w:r w:rsidRPr="00A7026B">
        <w:rPr>
          <w:i/>
        </w:rPr>
        <w:t>Agricultural and Veterinary C</w:t>
      </w:r>
      <w:r w:rsidR="00F7430D" w:rsidRPr="00A7026B">
        <w:rPr>
          <w:i/>
        </w:rPr>
        <w:t>hemicals (Control of Use) Act</w:t>
      </w:r>
      <w:r w:rsidR="00F7430D">
        <w:t xml:space="preserve">; </w:t>
      </w:r>
      <w:r>
        <w:t xml:space="preserve">or </w:t>
      </w:r>
    </w:p>
    <w:p w:rsidR="008236CB" w:rsidRDefault="008236CB" w:rsidP="00E942BC">
      <w:pPr>
        <w:ind w:left="426" w:hanging="426"/>
      </w:pPr>
      <w:r>
        <w:t>(c)</w:t>
      </w:r>
      <w:r w:rsidR="0038274A">
        <w:tab/>
      </w:r>
      <w:proofErr w:type="gramStart"/>
      <w:r>
        <w:t>the</w:t>
      </w:r>
      <w:proofErr w:type="gramEnd"/>
      <w:r>
        <w:t xml:space="preserve"> administration by a person of a Schedule 4 substance as defined in of the </w:t>
      </w:r>
      <w:r w:rsidRPr="00A7026B">
        <w:rPr>
          <w:i/>
        </w:rPr>
        <w:t>Medicines, Poisons and Therapeutic Goods Act</w:t>
      </w:r>
      <w:r>
        <w:t xml:space="preserve">, to an animal where a registered veterinarian:  </w:t>
      </w:r>
    </w:p>
    <w:p w:rsidR="008236CB" w:rsidRDefault="008236CB" w:rsidP="00E942BC">
      <w:pPr>
        <w:pStyle w:val="ListParagraph"/>
        <w:numPr>
          <w:ilvl w:val="0"/>
          <w:numId w:val="13"/>
        </w:numPr>
      </w:pPr>
      <w:r>
        <w:t>has made enquiries about the animal and decided that the Schedule 4 substance is</w:t>
      </w:r>
    </w:p>
    <w:p w:rsidR="008827DA" w:rsidRDefault="008827DA" w:rsidP="00E942BC">
      <w:pPr>
        <w:pStyle w:val="ListParagraph"/>
        <w:ind w:left="1004"/>
      </w:pPr>
    </w:p>
    <w:p w:rsidR="008827DA" w:rsidRDefault="008827DA" w:rsidP="00E942BC">
      <w:pPr>
        <w:pStyle w:val="ListParagraph"/>
        <w:ind w:left="1004"/>
      </w:pPr>
    </w:p>
    <w:p w:rsidR="008236CB" w:rsidRDefault="008236CB" w:rsidP="00E942BC">
      <w:pPr>
        <w:pStyle w:val="ListParagraph"/>
        <w:numPr>
          <w:ilvl w:val="0"/>
          <w:numId w:val="13"/>
        </w:numPr>
      </w:pPr>
      <w:r>
        <w:t xml:space="preserve">required to be administered; and (ii) is satisfied that the person who is to administer the Schedule 4 substance is competent to do so; and (iii) has supplied or prescribed the Schedule 4 substance and given full directions with respect to its administration </w:t>
      </w:r>
    </w:p>
    <w:p w:rsidR="00CC42F6" w:rsidRPr="00E34685" w:rsidRDefault="008236CB" w:rsidP="00E942BC">
      <w:pPr>
        <w:pStyle w:val="Heading2"/>
      </w:pPr>
      <w:r>
        <w:t xml:space="preserve"> </w:t>
      </w:r>
      <w:r w:rsidRPr="00E34685">
        <w:t xml:space="preserve">A </w:t>
      </w:r>
      <w:r w:rsidR="002F735C">
        <w:t>g</w:t>
      </w:r>
      <w:r w:rsidRPr="00E34685">
        <w:t xml:space="preserve">uide to </w:t>
      </w:r>
      <w:r w:rsidR="002F735C">
        <w:t>c</w:t>
      </w:r>
      <w:r w:rsidRPr="00E34685">
        <w:t xml:space="preserve">ompliance with Clause 7 - Veterinarians Regulations </w:t>
      </w:r>
    </w:p>
    <w:p w:rsidR="008236CB" w:rsidRPr="00CC42F6" w:rsidRDefault="008236CB" w:rsidP="00E942BC">
      <w:r>
        <w:t xml:space="preserve">As a general guide to compliance with Clause 7, </w:t>
      </w:r>
      <w:r w:rsidRPr="00CC42F6">
        <w:t xml:space="preserve">in issuing such a prescription, the veterinarian takes full responsibility for: </w:t>
      </w:r>
    </w:p>
    <w:p w:rsidR="008236CB" w:rsidRDefault="008236CB" w:rsidP="00E942BC">
      <w:pPr>
        <w:pStyle w:val="ListParagraph"/>
        <w:numPr>
          <w:ilvl w:val="0"/>
          <w:numId w:val="15"/>
        </w:numPr>
      </w:pPr>
      <w:r>
        <w:t xml:space="preserve">the sale and appropriate use of the medicine and for issuing adequate instructions about its use in order to manage any risks to users, the public, animals, consumers, the environment or trade </w:t>
      </w:r>
    </w:p>
    <w:p w:rsidR="008236CB" w:rsidRDefault="008236CB" w:rsidP="00E942BC">
      <w:pPr>
        <w:pStyle w:val="ListParagraph"/>
        <w:numPr>
          <w:ilvl w:val="0"/>
          <w:numId w:val="15"/>
        </w:numPr>
      </w:pPr>
      <w:r>
        <w:t xml:space="preserve">examining or making enquiries of the animal </w:t>
      </w:r>
    </w:p>
    <w:p w:rsidR="008236CB" w:rsidRDefault="008236CB" w:rsidP="00E942BC">
      <w:pPr>
        <w:pStyle w:val="ListParagraph"/>
        <w:numPr>
          <w:ilvl w:val="0"/>
          <w:numId w:val="15"/>
        </w:numPr>
      </w:pPr>
      <w:r>
        <w:t xml:space="preserve">establishing that there is a therapeutic need for the drug and that is in the best interests of the animal/herd/flock confirming that the amount dispensed is reasonable </w:t>
      </w:r>
    </w:p>
    <w:p w:rsidR="008236CB" w:rsidRDefault="008236CB" w:rsidP="00E942BC">
      <w:pPr>
        <w:pStyle w:val="ListParagraph"/>
        <w:numPr>
          <w:ilvl w:val="0"/>
          <w:numId w:val="15"/>
        </w:numPr>
      </w:pPr>
      <w:r>
        <w:t xml:space="preserve">dispensing only a reasonable amount of the drug to treat the immediate problem </w:t>
      </w:r>
    </w:p>
    <w:p w:rsidR="008236CB" w:rsidRDefault="008236CB" w:rsidP="00E942BC">
      <w:pPr>
        <w:pStyle w:val="ListParagraph"/>
        <w:numPr>
          <w:ilvl w:val="0"/>
          <w:numId w:val="15"/>
        </w:numPr>
      </w:pPr>
      <w:r>
        <w:t xml:space="preserve">ensuring that the medication/drug will be used properly </w:t>
      </w:r>
    </w:p>
    <w:p w:rsidR="008236CB" w:rsidRDefault="008236CB" w:rsidP="00E942BC">
      <w:pPr>
        <w:pStyle w:val="ListParagraph"/>
        <w:numPr>
          <w:ilvl w:val="0"/>
          <w:numId w:val="15"/>
        </w:numPr>
      </w:pPr>
      <w:r>
        <w:t xml:space="preserve">fulfilling requirements for storage and handling </w:t>
      </w:r>
    </w:p>
    <w:p w:rsidR="008236CB" w:rsidRDefault="008236CB" w:rsidP="00E942BC">
      <w:pPr>
        <w:pStyle w:val="ListParagraph"/>
        <w:numPr>
          <w:ilvl w:val="0"/>
          <w:numId w:val="15"/>
        </w:numPr>
      </w:pPr>
      <w:r>
        <w:t xml:space="preserve">compliance with documentation, record keeping and labelling protocols </w:t>
      </w:r>
    </w:p>
    <w:p w:rsidR="008236CB" w:rsidRDefault="008236CB" w:rsidP="00E942BC">
      <w:pPr>
        <w:pStyle w:val="ListParagraph"/>
        <w:numPr>
          <w:ilvl w:val="0"/>
          <w:numId w:val="15"/>
        </w:numPr>
      </w:pPr>
      <w:r>
        <w:t xml:space="preserve">any after care necessary for the animal’s welfare </w:t>
      </w:r>
    </w:p>
    <w:p w:rsidR="008236CB" w:rsidRDefault="008236CB" w:rsidP="00E942BC">
      <w:pPr>
        <w:pStyle w:val="ListParagraph"/>
        <w:numPr>
          <w:ilvl w:val="0"/>
          <w:numId w:val="15"/>
        </w:numPr>
      </w:pPr>
      <w:r>
        <w:t xml:space="preserve">his/her own understanding of the use of the drug and possible cautions </w:t>
      </w:r>
    </w:p>
    <w:p w:rsidR="008236CB" w:rsidRDefault="008236CB" w:rsidP="00E942BC">
      <w:pPr>
        <w:pStyle w:val="ListParagraph"/>
        <w:numPr>
          <w:ilvl w:val="0"/>
          <w:numId w:val="15"/>
        </w:numPr>
      </w:pPr>
      <w:r>
        <w:t xml:space="preserve">adhering to any additional requirements for a food producing animal, which includes horses and crocodiles (including advising the client of the withholding period/export slaughter interval) </w:t>
      </w:r>
    </w:p>
    <w:p w:rsidR="008236CB" w:rsidRDefault="008236CB" w:rsidP="00E942BC">
      <w:pPr>
        <w:pStyle w:val="ListParagraph"/>
        <w:numPr>
          <w:ilvl w:val="0"/>
          <w:numId w:val="15"/>
        </w:numPr>
        <w:spacing w:after="240"/>
        <w:ind w:left="777" w:hanging="357"/>
      </w:pPr>
      <w:proofErr w:type="gramStart"/>
      <w:r>
        <w:t>having</w:t>
      </w:r>
      <w:proofErr w:type="gramEnd"/>
      <w:r>
        <w:t xml:space="preserve"> a system of follow up to check on the use of and outcome from the medication/drug. </w:t>
      </w:r>
    </w:p>
    <w:tbl>
      <w:tblPr>
        <w:tblStyle w:val="TableGrid"/>
        <w:tblW w:w="10333" w:type="dxa"/>
        <w:tblBorders>
          <w:insideH w:val="none" w:sz="0" w:space="0" w:color="auto"/>
          <w:insideV w:val="none" w:sz="0" w:space="0" w:color="auto"/>
        </w:tblBorders>
        <w:shd w:val="clear" w:color="auto" w:fill="ED7D31" w:themeFill="accent2"/>
        <w:tblLook w:val="04A0" w:firstRow="1" w:lastRow="0" w:firstColumn="1" w:lastColumn="0" w:noHBand="0" w:noVBand="1"/>
      </w:tblPr>
      <w:tblGrid>
        <w:gridCol w:w="10333"/>
      </w:tblGrid>
      <w:tr w:rsidR="0038274A" w:rsidRPr="0038274A" w:rsidTr="00E942BC">
        <w:trPr>
          <w:trHeight w:val="1462"/>
        </w:trPr>
        <w:tc>
          <w:tcPr>
            <w:tcW w:w="10333" w:type="dxa"/>
            <w:shd w:val="clear" w:color="auto" w:fill="ED7D31" w:themeFill="accent2"/>
          </w:tcPr>
          <w:p w:rsidR="00A3465C" w:rsidRPr="0038274A" w:rsidRDefault="008236CB" w:rsidP="00E942BC">
            <w:pPr>
              <w:rPr>
                <w:b/>
              </w:rPr>
            </w:pPr>
            <w:r>
              <w:t xml:space="preserve"> </w:t>
            </w:r>
            <w:r w:rsidR="00A3465C" w:rsidRPr="0038274A">
              <w:rPr>
                <w:b/>
              </w:rPr>
              <w:t xml:space="preserve">Appropriate Operational Procedures  </w:t>
            </w:r>
          </w:p>
          <w:p w:rsidR="00A3465C" w:rsidRPr="0038274A" w:rsidRDefault="00A3465C" w:rsidP="00E942BC">
            <w:r w:rsidRPr="0038274A">
              <w:t>It is advisable for registered veterinarians to establish appropriate operational procedures and protocols that comply with the legislation and record keeping requirements, and address fully, the responsibilities borne by prescribing veterinarians in exercising control, oversight and checks on the use of the drugs they prescribe for admin</w:t>
            </w:r>
            <w:r w:rsidR="0038274A" w:rsidRPr="0038274A">
              <w:t>istration by non-veterinarians.</w:t>
            </w:r>
          </w:p>
        </w:tc>
      </w:tr>
    </w:tbl>
    <w:p w:rsidR="008236CB" w:rsidRPr="00E34685" w:rsidRDefault="008236CB" w:rsidP="00E942BC">
      <w:pPr>
        <w:spacing w:before="240"/>
        <w:rPr>
          <w:i/>
        </w:rPr>
      </w:pPr>
      <w:r w:rsidRPr="00A3465C">
        <w:rPr>
          <w:b/>
        </w:rPr>
        <w:t>Access to copies of relevant legislation</w:t>
      </w:r>
      <w:r>
        <w:t xml:space="preserve"> </w:t>
      </w:r>
      <w:r w:rsidR="00A3465C">
        <w:t xml:space="preserve">- </w:t>
      </w:r>
      <w:r>
        <w:t xml:space="preserve">Veterinarians may access full copies of all legislation that impacts on veterinary practice at the </w:t>
      </w:r>
      <w:hyperlink r:id="rId8" w:history="1">
        <w:r w:rsidRPr="000A136C">
          <w:rPr>
            <w:rStyle w:val="Hyperlink"/>
            <w:color w:val="auto"/>
          </w:rPr>
          <w:t>Veterinary Board’s website</w:t>
        </w:r>
      </w:hyperlink>
      <w:r>
        <w:t xml:space="preserve"> at </w:t>
      </w:r>
      <w:hyperlink r:id="rId9" w:history="1">
        <w:r w:rsidRPr="000A136C">
          <w:rPr>
            <w:rStyle w:val="Hyperlink"/>
            <w:i/>
          </w:rPr>
          <w:t>www.vetboard.nt.gov.au</w:t>
        </w:r>
      </w:hyperlink>
      <w:r>
        <w:t xml:space="preserve"> or the </w:t>
      </w:r>
      <w:hyperlink r:id="rId10" w:history="1">
        <w:r w:rsidRPr="0038274A">
          <w:rPr>
            <w:rStyle w:val="Hyperlink"/>
          </w:rPr>
          <w:t>Northern Territory Government Legislation Website</w:t>
        </w:r>
      </w:hyperlink>
      <w:r w:rsidR="0038274A">
        <w:t>.</w:t>
      </w:r>
      <w:r>
        <w:t xml:space="preserve"> </w:t>
      </w:r>
    </w:p>
    <w:p w:rsidR="00A3465C" w:rsidRDefault="008236CB" w:rsidP="00E942BC">
      <w:r w:rsidRPr="00A3465C">
        <w:t xml:space="preserve"> Australian Veterinary Association (AVA) Resource</w:t>
      </w:r>
      <w:r>
        <w:t xml:space="preserve"> </w:t>
      </w:r>
    </w:p>
    <w:p w:rsidR="008236CB" w:rsidRDefault="008236CB" w:rsidP="00E942BC">
      <w:pPr>
        <w:spacing w:after="240"/>
        <w:rPr>
          <w:i/>
        </w:rPr>
      </w:pPr>
      <w:r>
        <w:t xml:space="preserve">In addition, the AVA document entitled “Guidelines for Prescribing, Authorising and Dispensing Veterinary Medicines” is a usual resource </w:t>
      </w:r>
      <w:r w:rsidRPr="008236CB">
        <w:t xml:space="preserve">and reference tool that can be viewed and/or downloaded from </w:t>
      </w:r>
      <w:r w:rsidR="0038274A">
        <w:t xml:space="preserve">the </w:t>
      </w:r>
      <w:hyperlink r:id="rId11" w:history="1">
        <w:r w:rsidR="0038274A" w:rsidRPr="0038274A">
          <w:rPr>
            <w:rStyle w:val="Hyperlink"/>
          </w:rPr>
          <w:t>Australian Veterinary Association</w:t>
        </w:r>
      </w:hyperlink>
      <w:r w:rsidR="000A136C">
        <w:rPr>
          <w:rStyle w:val="Hyperlink"/>
        </w:rPr>
        <w:t xml:space="preserve"> </w:t>
      </w:r>
      <w:r w:rsidR="0038274A">
        <w:t>.</w:t>
      </w:r>
      <w:r w:rsidRPr="00E34685">
        <w:rPr>
          <w:i/>
        </w:rPr>
        <w:t xml:space="preserve"> </w:t>
      </w:r>
    </w:p>
    <w:tbl>
      <w:tblPr>
        <w:tblW w:w="2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2641"/>
      </w:tblGrid>
      <w:tr w:rsidR="005F44C1" w:rsidRPr="00D43060" w:rsidTr="00FA416C">
        <w:trPr>
          <w:trHeight w:val="12"/>
        </w:trPr>
        <w:tc>
          <w:tcPr>
            <w:tcW w:w="2294" w:type="dxa"/>
            <w:shd w:val="clear" w:color="auto" w:fill="auto"/>
          </w:tcPr>
          <w:p w:rsidR="005F44C1" w:rsidRPr="00D43060" w:rsidRDefault="005F44C1" w:rsidP="00E942BC">
            <w:pPr>
              <w:spacing w:after="0"/>
            </w:pPr>
            <w:r w:rsidRPr="00D43060">
              <w:t>Version Control</w:t>
            </w:r>
          </w:p>
        </w:tc>
        <w:tc>
          <w:tcPr>
            <w:tcW w:w="2641" w:type="dxa"/>
            <w:shd w:val="clear" w:color="auto" w:fill="auto"/>
          </w:tcPr>
          <w:p w:rsidR="005F44C1" w:rsidRPr="00D43060" w:rsidRDefault="006F4EAB" w:rsidP="00E942BC">
            <w:pPr>
              <w:spacing w:after="0"/>
            </w:pPr>
            <w:r>
              <w:t>V1</w:t>
            </w:r>
          </w:p>
        </w:tc>
      </w:tr>
      <w:tr w:rsidR="005F44C1" w:rsidRPr="00D43060" w:rsidTr="00FA416C">
        <w:trPr>
          <w:trHeight w:val="12"/>
        </w:trPr>
        <w:tc>
          <w:tcPr>
            <w:tcW w:w="2294" w:type="dxa"/>
            <w:shd w:val="clear" w:color="auto" w:fill="auto"/>
          </w:tcPr>
          <w:p w:rsidR="005F44C1" w:rsidRPr="00D43060" w:rsidRDefault="005F44C1" w:rsidP="00E942BC">
            <w:pPr>
              <w:spacing w:after="0"/>
            </w:pPr>
            <w:r w:rsidRPr="00D43060">
              <w:t>Approved By</w:t>
            </w:r>
          </w:p>
        </w:tc>
        <w:tc>
          <w:tcPr>
            <w:tcW w:w="2641" w:type="dxa"/>
            <w:shd w:val="clear" w:color="auto" w:fill="auto"/>
          </w:tcPr>
          <w:p w:rsidR="005F44C1" w:rsidRPr="00D43060" w:rsidRDefault="006F4EAB" w:rsidP="00E942BC">
            <w:pPr>
              <w:spacing w:after="0"/>
            </w:pPr>
            <w:r>
              <w:t>Veterinary Board</w:t>
            </w:r>
          </w:p>
        </w:tc>
      </w:tr>
      <w:tr w:rsidR="005F44C1" w:rsidRPr="00D43060" w:rsidTr="00FA416C">
        <w:trPr>
          <w:trHeight w:val="12"/>
        </w:trPr>
        <w:tc>
          <w:tcPr>
            <w:tcW w:w="2294" w:type="dxa"/>
            <w:shd w:val="clear" w:color="auto" w:fill="auto"/>
          </w:tcPr>
          <w:p w:rsidR="005F44C1" w:rsidRPr="00D43060" w:rsidRDefault="005F44C1" w:rsidP="00E942BC">
            <w:pPr>
              <w:spacing w:after="0"/>
            </w:pPr>
            <w:r w:rsidRPr="00D43060">
              <w:t>Last Reviewed</w:t>
            </w:r>
          </w:p>
        </w:tc>
        <w:tc>
          <w:tcPr>
            <w:tcW w:w="2641" w:type="dxa"/>
            <w:shd w:val="clear" w:color="auto" w:fill="auto"/>
          </w:tcPr>
          <w:p w:rsidR="005F44C1" w:rsidRPr="00D43060" w:rsidRDefault="006F4EAB" w:rsidP="00E942BC">
            <w:pPr>
              <w:spacing w:after="0"/>
            </w:pPr>
            <w:r>
              <w:t>July 2020</w:t>
            </w:r>
          </w:p>
        </w:tc>
      </w:tr>
      <w:tr w:rsidR="005F44C1" w:rsidRPr="00D43060" w:rsidTr="00FA416C">
        <w:trPr>
          <w:trHeight w:val="12"/>
        </w:trPr>
        <w:tc>
          <w:tcPr>
            <w:tcW w:w="2294" w:type="dxa"/>
            <w:shd w:val="clear" w:color="auto" w:fill="auto"/>
          </w:tcPr>
          <w:p w:rsidR="005F44C1" w:rsidRPr="00D43060" w:rsidRDefault="005F44C1" w:rsidP="00E942BC">
            <w:pPr>
              <w:spacing w:after="0"/>
            </w:pPr>
            <w:r w:rsidRPr="00D43060">
              <w:t>Next Review</w:t>
            </w:r>
            <w:r w:rsidR="003951CB" w:rsidRPr="00D43060">
              <w:t xml:space="preserve"> Date</w:t>
            </w:r>
          </w:p>
        </w:tc>
        <w:tc>
          <w:tcPr>
            <w:tcW w:w="2641" w:type="dxa"/>
            <w:shd w:val="clear" w:color="auto" w:fill="auto"/>
          </w:tcPr>
          <w:p w:rsidR="005F44C1" w:rsidRPr="00D43060" w:rsidRDefault="006F4EAB" w:rsidP="00E942BC">
            <w:pPr>
              <w:spacing w:after="0"/>
            </w:pPr>
            <w:r>
              <w:t>July 2023</w:t>
            </w:r>
          </w:p>
        </w:tc>
      </w:tr>
    </w:tbl>
    <w:p w:rsidR="00737244" w:rsidRPr="00094393" w:rsidRDefault="00737244" w:rsidP="00E942BC">
      <w:pPr>
        <w:rPr>
          <w:lang w:val="en-US"/>
        </w:rPr>
      </w:pPr>
    </w:p>
    <w:sectPr w:rsidR="00737244" w:rsidRPr="00094393" w:rsidSect="00192C5D">
      <w:headerReference w:type="even" r:id="rId12"/>
      <w:headerReference w:type="default" r:id="rId13"/>
      <w:footerReference w:type="even" r:id="rId14"/>
      <w:footerReference w:type="default" r:id="rId15"/>
      <w:headerReference w:type="first" r:id="rId16"/>
      <w:footerReference w:type="first" r:id="rId17"/>
      <w:pgSz w:w="11906" w:h="16838"/>
      <w:pgMar w:top="720" w:right="720" w:bottom="1560" w:left="720" w:header="56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113" w:rsidRDefault="007A0113" w:rsidP="0038274A">
      <w:r>
        <w:separator/>
      </w:r>
    </w:p>
    <w:p w:rsidR="007A0113" w:rsidRDefault="007A0113" w:rsidP="0038274A"/>
  </w:endnote>
  <w:endnote w:type="continuationSeparator" w:id="0">
    <w:p w:rsidR="007A0113" w:rsidRDefault="007A0113" w:rsidP="0038274A">
      <w:r>
        <w:continuationSeparator/>
      </w:r>
    </w:p>
    <w:p w:rsidR="007A0113" w:rsidRDefault="007A0113" w:rsidP="003827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LatoLatin Heavy">
    <w:panose1 w:val="020F0502020204030203"/>
    <w:charset w:val="00"/>
    <w:family w:val="swiss"/>
    <w:pitch w:val="variable"/>
    <w:sig w:usb0="A00000A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Heavy">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C00" w:rsidRDefault="00CD3C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18A" w:rsidRPr="00192C5D" w:rsidRDefault="00192C5D" w:rsidP="00192C5D">
    <w:pPr>
      <w:pStyle w:val="Footer"/>
      <w:tabs>
        <w:tab w:val="clear" w:pos="8306"/>
        <w:tab w:val="right" w:pos="10466"/>
      </w:tabs>
    </w:pPr>
    <w:r w:rsidRPr="00A90497">
      <w:t xml:space="preserve">Veterinary Board of the Northern Territory </w:t>
    </w:r>
    <w:r>
      <w:tab/>
      <w:t xml:space="preserve">Page </w:t>
    </w:r>
    <w:r>
      <w:rPr>
        <w:b/>
        <w:bCs/>
      </w:rPr>
      <w:fldChar w:fldCharType="begin"/>
    </w:r>
    <w:r>
      <w:rPr>
        <w:b/>
        <w:bCs/>
      </w:rPr>
      <w:instrText xml:space="preserve"> PAGE  \* Arabic  \* MERGEFORMAT </w:instrText>
    </w:r>
    <w:r>
      <w:rPr>
        <w:b/>
        <w:bCs/>
      </w:rPr>
      <w:fldChar w:fldCharType="separate"/>
    </w:r>
    <w:r w:rsidR="00E56368">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56368">
      <w:rPr>
        <w:b/>
        <w:bCs/>
        <w:noProof/>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18A" w:rsidRDefault="00A90497" w:rsidP="00192C5D">
    <w:pPr>
      <w:pStyle w:val="Footer"/>
      <w:tabs>
        <w:tab w:val="clear" w:pos="8306"/>
        <w:tab w:val="right" w:pos="10466"/>
      </w:tabs>
    </w:pPr>
    <w:r w:rsidRPr="00A90497">
      <w:t xml:space="preserve">Veterinary Board of the Northern Territory </w:t>
    </w:r>
    <w:r>
      <w:tab/>
    </w:r>
    <w:r w:rsidR="00192C5D">
      <w:t xml:space="preserve">Page </w:t>
    </w:r>
    <w:r w:rsidR="00192C5D">
      <w:rPr>
        <w:b/>
        <w:bCs/>
      </w:rPr>
      <w:fldChar w:fldCharType="begin"/>
    </w:r>
    <w:r w:rsidR="00192C5D">
      <w:rPr>
        <w:b/>
        <w:bCs/>
      </w:rPr>
      <w:instrText xml:space="preserve"> PAGE  \* Arabic  \* MERGEFORMAT </w:instrText>
    </w:r>
    <w:r w:rsidR="00192C5D">
      <w:rPr>
        <w:b/>
        <w:bCs/>
      </w:rPr>
      <w:fldChar w:fldCharType="separate"/>
    </w:r>
    <w:r w:rsidR="00E56368">
      <w:rPr>
        <w:b/>
        <w:bCs/>
        <w:noProof/>
      </w:rPr>
      <w:t>1</w:t>
    </w:r>
    <w:r w:rsidR="00192C5D">
      <w:rPr>
        <w:b/>
        <w:bCs/>
      </w:rPr>
      <w:fldChar w:fldCharType="end"/>
    </w:r>
    <w:r w:rsidR="00192C5D">
      <w:t xml:space="preserve"> of </w:t>
    </w:r>
    <w:r w:rsidR="00192C5D">
      <w:rPr>
        <w:b/>
        <w:bCs/>
      </w:rPr>
      <w:fldChar w:fldCharType="begin"/>
    </w:r>
    <w:r w:rsidR="00192C5D">
      <w:rPr>
        <w:b/>
        <w:bCs/>
      </w:rPr>
      <w:instrText xml:space="preserve"> NUMPAGES  \* Arabic  \* MERGEFORMAT </w:instrText>
    </w:r>
    <w:r w:rsidR="00192C5D">
      <w:rPr>
        <w:b/>
        <w:bCs/>
      </w:rPr>
      <w:fldChar w:fldCharType="separate"/>
    </w:r>
    <w:r w:rsidR="00E56368">
      <w:rPr>
        <w:b/>
        <w:bCs/>
        <w:noProof/>
      </w:rPr>
      <w:t>2</w:t>
    </w:r>
    <w:r w:rsidR="00192C5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113" w:rsidRDefault="007A0113" w:rsidP="0038274A">
      <w:r>
        <w:separator/>
      </w:r>
    </w:p>
    <w:p w:rsidR="007A0113" w:rsidRDefault="007A0113" w:rsidP="0038274A"/>
  </w:footnote>
  <w:footnote w:type="continuationSeparator" w:id="0">
    <w:p w:rsidR="007A0113" w:rsidRDefault="007A0113" w:rsidP="0038274A">
      <w:r>
        <w:continuationSeparator/>
      </w:r>
    </w:p>
    <w:p w:rsidR="007A0113" w:rsidRDefault="007A0113" w:rsidP="0038274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690" w:rsidRDefault="003E1690" w:rsidP="0038274A">
    <w:pPr>
      <w:pStyle w:val="Header"/>
    </w:pPr>
  </w:p>
  <w:p w:rsidR="004B218A" w:rsidRDefault="004B218A" w:rsidP="0038274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060" w:rsidRPr="00D43060" w:rsidRDefault="008236CB" w:rsidP="0038274A">
    <w:pPr>
      <w:jc w:val="right"/>
    </w:pPr>
    <w:r>
      <w:t>Advisory Note – Professional Obligations when Prescribing Drugs to Non-Vets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18A" w:rsidRDefault="00A90497" w:rsidP="0038274A">
    <w:pPr>
      <w:pStyle w:val="Title"/>
    </w:pPr>
    <w:bookmarkStart w:id="0" w:name="_GoBack"/>
    <w:r w:rsidRPr="00F86CE7">
      <w:drawing>
        <wp:anchor distT="0" distB="0" distL="114300" distR="114300" simplePos="0" relativeHeight="251659264" behindDoc="0" locked="0" layoutInCell="1" allowOverlap="1">
          <wp:simplePos x="0" y="0"/>
          <wp:positionH relativeFrom="column">
            <wp:posOffset>0</wp:posOffset>
          </wp:positionH>
          <wp:positionV relativeFrom="paragraph">
            <wp:posOffset>208222</wp:posOffset>
          </wp:positionV>
          <wp:extent cx="957580" cy="914400"/>
          <wp:effectExtent l="0" t="0" r="0" b="0"/>
          <wp:wrapSquare wrapText="bothSides"/>
          <wp:docPr id="6" name="Picture 6" descr="DPIR Vet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DPIF Vet Board Logo (2) 20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58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36CB">
      <w:t xml:space="preserve">Advisory </w:t>
    </w:r>
    <w:r w:rsidR="00F172FA">
      <w:t>N</w:t>
    </w:r>
    <w:r w:rsidR="008236CB">
      <w:t>ote</w:t>
    </w:r>
    <w:r w:rsidR="002837A2">
      <w:t xml:space="preserve"> to all N</w:t>
    </w:r>
    <w:r w:rsidR="00735A22">
      <w:t xml:space="preserve">orthern Territory </w:t>
    </w:r>
    <w:r w:rsidR="00F172FA">
      <w:t>R</w:t>
    </w:r>
    <w:r w:rsidR="00735A22">
      <w:t xml:space="preserve">egistered </w:t>
    </w:r>
    <w:r w:rsidR="00F172FA">
      <w:t>V</w:t>
    </w:r>
    <w:r w:rsidR="00735A22">
      <w:t>eterinarians</w:t>
    </w:r>
    <w:r w:rsidR="008236CB">
      <w:t xml:space="preserve"> – </w:t>
    </w:r>
    <w:r w:rsidR="00F172FA">
      <w:t>P</w:t>
    </w:r>
    <w:r w:rsidR="008236CB">
      <w:t xml:space="preserve">rofessional </w:t>
    </w:r>
    <w:r w:rsidR="002837A2">
      <w:t xml:space="preserve">and </w:t>
    </w:r>
    <w:r w:rsidR="00F172FA">
      <w:t>S</w:t>
    </w:r>
    <w:r w:rsidR="002837A2">
      <w:t xml:space="preserve">tatutory </w:t>
    </w:r>
    <w:r w:rsidR="00F172FA">
      <w:t>O</w:t>
    </w:r>
    <w:r w:rsidR="008236CB">
      <w:t xml:space="preserve">bligations on </w:t>
    </w:r>
    <w:r w:rsidR="00F172FA">
      <w:t>P</w:t>
    </w:r>
    <w:r w:rsidR="008236CB">
      <w:t xml:space="preserve">rescribing </w:t>
    </w:r>
    <w:r w:rsidR="00F172FA">
      <w:t>D</w:t>
    </w:r>
    <w:r w:rsidR="008236CB">
      <w:t xml:space="preserve">rugs to </w:t>
    </w:r>
    <w:r w:rsidR="00F172FA">
      <w:t>N</w:t>
    </w:r>
    <w:r w:rsidR="008236CB">
      <w:t>on-</w:t>
    </w:r>
    <w:r w:rsidR="00F172FA">
      <w:t>V</w:t>
    </w:r>
    <w:r w:rsidR="008236CB">
      <w:t>eterinarians</w:t>
    </w:r>
  </w:p>
  <w:bookmarkEnd w:id="0"/>
  <w:p w:rsidR="008236CB" w:rsidRDefault="008236CB" w:rsidP="0038274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BE1"/>
    <w:multiLevelType w:val="multilevel"/>
    <w:tmpl w:val="B80401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6F74B5"/>
    <w:multiLevelType w:val="hybridMultilevel"/>
    <w:tmpl w:val="0D7E0D5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DED6920"/>
    <w:multiLevelType w:val="hybridMultilevel"/>
    <w:tmpl w:val="77A0D1BA"/>
    <w:lvl w:ilvl="0" w:tplc="CF2A2590">
      <w:start w:val="1"/>
      <w:numFmt w:val="lowerRoman"/>
      <w:lvlText w:val="(%1)"/>
      <w:lvlJc w:val="left"/>
      <w:pPr>
        <w:ind w:left="1064" w:hanging="720"/>
      </w:pPr>
      <w:rPr>
        <w:rFonts w:hint="default"/>
      </w:rPr>
    </w:lvl>
    <w:lvl w:ilvl="1" w:tplc="0C090019" w:tentative="1">
      <w:start w:val="1"/>
      <w:numFmt w:val="lowerLetter"/>
      <w:lvlText w:val="%2."/>
      <w:lvlJc w:val="left"/>
      <w:pPr>
        <w:ind w:left="1424" w:hanging="360"/>
      </w:pPr>
    </w:lvl>
    <w:lvl w:ilvl="2" w:tplc="0C09001B" w:tentative="1">
      <w:start w:val="1"/>
      <w:numFmt w:val="lowerRoman"/>
      <w:lvlText w:val="%3."/>
      <w:lvlJc w:val="right"/>
      <w:pPr>
        <w:ind w:left="2144" w:hanging="180"/>
      </w:pPr>
    </w:lvl>
    <w:lvl w:ilvl="3" w:tplc="0C09000F" w:tentative="1">
      <w:start w:val="1"/>
      <w:numFmt w:val="decimal"/>
      <w:lvlText w:val="%4."/>
      <w:lvlJc w:val="left"/>
      <w:pPr>
        <w:ind w:left="2864" w:hanging="360"/>
      </w:pPr>
    </w:lvl>
    <w:lvl w:ilvl="4" w:tplc="0C090019" w:tentative="1">
      <w:start w:val="1"/>
      <w:numFmt w:val="lowerLetter"/>
      <w:lvlText w:val="%5."/>
      <w:lvlJc w:val="left"/>
      <w:pPr>
        <w:ind w:left="3584" w:hanging="360"/>
      </w:pPr>
    </w:lvl>
    <w:lvl w:ilvl="5" w:tplc="0C09001B" w:tentative="1">
      <w:start w:val="1"/>
      <w:numFmt w:val="lowerRoman"/>
      <w:lvlText w:val="%6."/>
      <w:lvlJc w:val="right"/>
      <w:pPr>
        <w:ind w:left="4304" w:hanging="180"/>
      </w:pPr>
    </w:lvl>
    <w:lvl w:ilvl="6" w:tplc="0C09000F" w:tentative="1">
      <w:start w:val="1"/>
      <w:numFmt w:val="decimal"/>
      <w:lvlText w:val="%7."/>
      <w:lvlJc w:val="left"/>
      <w:pPr>
        <w:ind w:left="5024" w:hanging="360"/>
      </w:pPr>
    </w:lvl>
    <w:lvl w:ilvl="7" w:tplc="0C090019" w:tentative="1">
      <w:start w:val="1"/>
      <w:numFmt w:val="lowerLetter"/>
      <w:lvlText w:val="%8."/>
      <w:lvlJc w:val="left"/>
      <w:pPr>
        <w:ind w:left="5744" w:hanging="360"/>
      </w:pPr>
    </w:lvl>
    <w:lvl w:ilvl="8" w:tplc="0C09001B" w:tentative="1">
      <w:start w:val="1"/>
      <w:numFmt w:val="lowerRoman"/>
      <w:lvlText w:val="%9."/>
      <w:lvlJc w:val="right"/>
      <w:pPr>
        <w:ind w:left="6464" w:hanging="180"/>
      </w:pPr>
    </w:lvl>
  </w:abstractNum>
  <w:abstractNum w:abstractNumId="3" w15:restartNumberingAfterBreak="0">
    <w:nsid w:val="0F4B574F"/>
    <w:multiLevelType w:val="hybridMultilevel"/>
    <w:tmpl w:val="E7AAFD46"/>
    <w:lvl w:ilvl="0" w:tplc="95521952">
      <w:start w:val="1"/>
      <w:numFmt w:val="lowerRoman"/>
      <w:lvlText w:val="(%1)"/>
      <w:lvlJc w:val="left"/>
      <w:pPr>
        <w:ind w:left="1004" w:hanging="7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0FFB3AD2"/>
    <w:multiLevelType w:val="hybridMultilevel"/>
    <w:tmpl w:val="2D1290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23470DC8"/>
    <w:multiLevelType w:val="hybridMultilevel"/>
    <w:tmpl w:val="E2D0C3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E63CD"/>
    <w:multiLevelType w:val="hybridMultilevel"/>
    <w:tmpl w:val="E176F1D4"/>
    <w:lvl w:ilvl="0" w:tplc="03563764">
      <w:numFmt w:val="bullet"/>
      <w:lvlText w:val=""/>
      <w:lvlJc w:val="left"/>
      <w:pPr>
        <w:ind w:left="786" w:hanging="567"/>
      </w:pPr>
      <w:rPr>
        <w:rFonts w:ascii="Symbol" w:eastAsia="Symbol" w:hAnsi="Symbol" w:cs="Symbol" w:hint="default"/>
        <w:w w:val="100"/>
        <w:sz w:val="24"/>
        <w:szCs w:val="24"/>
        <w:lang w:val="en-AU" w:eastAsia="en-AU" w:bidi="en-AU"/>
      </w:rPr>
    </w:lvl>
    <w:lvl w:ilvl="1" w:tplc="581EEABC">
      <w:numFmt w:val="bullet"/>
      <w:lvlText w:val="•"/>
      <w:lvlJc w:val="left"/>
      <w:pPr>
        <w:ind w:left="1614" w:hanging="567"/>
      </w:pPr>
      <w:rPr>
        <w:lang w:val="en-AU" w:eastAsia="en-AU" w:bidi="en-AU"/>
      </w:rPr>
    </w:lvl>
    <w:lvl w:ilvl="2" w:tplc="B8D2E818">
      <w:numFmt w:val="bullet"/>
      <w:lvlText w:val="•"/>
      <w:lvlJc w:val="left"/>
      <w:pPr>
        <w:ind w:left="2449" w:hanging="567"/>
      </w:pPr>
      <w:rPr>
        <w:lang w:val="en-AU" w:eastAsia="en-AU" w:bidi="en-AU"/>
      </w:rPr>
    </w:lvl>
    <w:lvl w:ilvl="3" w:tplc="A1A83B98">
      <w:numFmt w:val="bullet"/>
      <w:lvlText w:val="•"/>
      <w:lvlJc w:val="left"/>
      <w:pPr>
        <w:ind w:left="3283" w:hanging="567"/>
      </w:pPr>
      <w:rPr>
        <w:lang w:val="en-AU" w:eastAsia="en-AU" w:bidi="en-AU"/>
      </w:rPr>
    </w:lvl>
    <w:lvl w:ilvl="4" w:tplc="9412F8B2">
      <w:numFmt w:val="bullet"/>
      <w:lvlText w:val="•"/>
      <w:lvlJc w:val="left"/>
      <w:pPr>
        <w:ind w:left="4118" w:hanging="567"/>
      </w:pPr>
      <w:rPr>
        <w:lang w:val="en-AU" w:eastAsia="en-AU" w:bidi="en-AU"/>
      </w:rPr>
    </w:lvl>
    <w:lvl w:ilvl="5" w:tplc="53F69D92">
      <w:numFmt w:val="bullet"/>
      <w:lvlText w:val="•"/>
      <w:lvlJc w:val="left"/>
      <w:pPr>
        <w:ind w:left="4953" w:hanging="567"/>
      </w:pPr>
      <w:rPr>
        <w:lang w:val="en-AU" w:eastAsia="en-AU" w:bidi="en-AU"/>
      </w:rPr>
    </w:lvl>
    <w:lvl w:ilvl="6" w:tplc="9894CDF4">
      <w:numFmt w:val="bullet"/>
      <w:lvlText w:val="•"/>
      <w:lvlJc w:val="left"/>
      <w:pPr>
        <w:ind w:left="5787" w:hanging="567"/>
      </w:pPr>
      <w:rPr>
        <w:lang w:val="en-AU" w:eastAsia="en-AU" w:bidi="en-AU"/>
      </w:rPr>
    </w:lvl>
    <w:lvl w:ilvl="7" w:tplc="994A2E1E">
      <w:numFmt w:val="bullet"/>
      <w:lvlText w:val="•"/>
      <w:lvlJc w:val="left"/>
      <w:pPr>
        <w:ind w:left="6622" w:hanging="567"/>
      </w:pPr>
      <w:rPr>
        <w:lang w:val="en-AU" w:eastAsia="en-AU" w:bidi="en-AU"/>
      </w:rPr>
    </w:lvl>
    <w:lvl w:ilvl="8" w:tplc="B1569C84">
      <w:numFmt w:val="bullet"/>
      <w:lvlText w:val="•"/>
      <w:lvlJc w:val="left"/>
      <w:pPr>
        <w:ind w:left="7457" w:hanging="567"/>
      </w:pPr>
      <w:rPr>
        <w:lang w:val="en-AU" w:eastAsia="en-AU" w:bidi="en-AU"/>
      </w:rPr>
    </w:lvl>
  </w:abstractNum>
  <w:abstractNum w:abstractNumId="7" w15:restartNumberingAfterBreak="0">
    <w:nsid w:val="2FDD6E5B"/>
    <w:multiLevelType w:val="hybridMultilevel"/>
    <w:tmpl w:val="3850A8D0"/>
    <w:lvl w:ilvl="0" w:tplc="CE144E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2838AA"/>
    <w:multiLevelType w:val="hybridMultilevel"/>
    <w:tmpl w:val="04C8BDD8"/>
    <w:lvl w:ilvl="0" w:tplc="78D4E00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C246F5B"/>
    <w:multiLevelType w:val="hybridMultilevel"/>
    <w:tmpl w:val="64988EAC"/>
    <w:lvl w:ilvl="0" w:tplc="4A725D3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4F2A3C5B"/>
    <w:multiLevelType w:val="hybridMultilevel"/>
    <w:tmpl w:val="DE82D7E4"/>
    <w:lvl w:ilvl="0" w:tplc="4A725D3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60AE380A"/>
    <w:multiLevelType w:val="hybridMultilevel"/>
    <w:tmpl w:val="3DAAF43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647065E1"/>
    <w:multiLevelType w:val="hybridMultilevel"/>
    <w:tmpl w:val="A4667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1F4DE7"/>
    <w:multiLevelType w:val="hybridMultilevel"/>
    <w:tmpl w:val="BCD0F65A"/>
    <w:lvl w:ilvl="0" w:tplc="BA607BF4">
      <w:start w:val="1"/>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353200"/>
    <w:multiLevelType w:val="hybridMultilevel"/>
    <w:tmpl w:val="B1E8C0CC"/>
    <w:lvl w:ilvl="0" w:tplc="82489E62">
      <w:start w:val="7"/>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5D0532"/>
    <w:multiLevelType w:val="hybridMultilevel"/>
    <w:tmpl w:val="1076F19A"/>
    <w:lvl w:ilvl="0" w:tplc="B3101D8A">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0"/>
  </w:num>
  <w:num w:numId="2">
    <w:abstractNumId w:val="14"/>
  </w:num>
  <w:num w:numId="3">
    <w:abstractNumId w:val="5"/>
  </w:num>
  <w:num w:numId="4">
    <w:abstractNumId w:val="13"/>
  </w:num>
  <w:num w:numId="5">
    <w:abstractNumId w:val="12"/>
  </w:num>
  <w:num w:numId="6">
    <w:abstractNumId w:val="8"/>
  </w:num>
  <w:num w:numId="7">
    <w:abstractNumId w:val="15"/>
  </w:num>
  <w:num w:numId="8">
    <w:abstractNumId w:val="7"/>
  </w:num>
  <w:num w:numId="9">
    <w:abstractNumId w:val="9"/>
  </w:num>
  <w:num w:numId="10">
    <w:abstractNumId w:val="6"/>
  </w:num>
  <w:num w:numId="11">
    <w:abstractNumId w:val="10"/>
  </w:num>
  <w:num w:numId="12">
    <w:abstractNumId w:val="2"/>
  </w:num>
  <w:num w:numId="13">
    <w:abstractNumId w:val="3"/>
  </w:num>
  <w:num w:numId="14">
    <w:abstractNumId w:val="11"/>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825"/>
    <w:rsid w:val="00007707"/>
    <w:rsid w:val="0001628C"/>
    <w:rsid w:val="00016E6C"/>
    <w:rsid w:val="0001708A"/>
    <w:rsid w:val="00033E10"/>
    <w:rsid w:val="000414D8"/>
    <w:rsid w:val="00046438"/>
    <w:rsid w:val="00051F4B"/>
    <w:rsid w:val="00062FA5"/>
    <w:rsid w:val="00066D36"/>
    <w:rsid w:val="00093F52"/>
    <w:rsid w:val="00094393"/>
    <w:rsid w:val="00096B03"/>
    <w:rsid w:val="000A136C"/>
    <w:rsid w:val="000A1693"/>
    <w:rsid w:val="000A5E6B"/>
    <w:rsid w:val="000C0ED4"/>
    <w:rsid w:val="000D3C95"/>
    <w:rsid w:val="00102341"/>
    <w:rsid w:val="00103830"/>
    <w:rsid w:val="0010501B"/>
    <w:rsid w:val="0010617A"/>
    <w:rsid w:val="001069BF"/>
    <w:rsid w:val="00113CB1"/>
    <w:rsid w:val="0013394D"/>
    <w:rsid w:val="001416F8"/>
    <w:rsid w:val="00144E7D"/>
    <w:rsid w:val="0014773B"/>
    <w:rsid w:val="001661AB"/>
    <w:rsid w:val="00173158"/>
    <w:rsid w:val="0018478B"/>
    <w:rsid w:val="001869FB"/>
    <w:rsid w:val="00191933"/>
    <w:rsid w:val="00192C5D"/>
    <w:rsid w:val="00196D46"/>
    <w:rsid w:val="001A14CD"/>
    <w:rsid w:val="001A41CA"/>
    <w:rsid w:val="001A5621"/>
    <w:rsid w:val="001A7590"/>
    <w:rsid w:val="001C17DD"/>
    <w:rsid w:val="001C4390"/>
    <w:rsid w:val="001D075E"/>
    <w:rsid w:val="001E07AD"/>
    <w:rsid w:val="001E6B0B"/>
    <w:rsid w:val="001F03F8"/>
    <w:rsid w:val="001F38B8"/>
    <w:rsid w:val="001F7121"/>
    <w:rsid w:val="00202F47"/>
    <w:rsid w:val="0022444B"/>
    <w:rsid w:val="00227C41"/>
    <w:rsid w:val="00234804"/>
    <w:rsid w:val="00244A41"/>
    <w:rsid w:val="00246574"/>
    <w:rsid w:val="00251CE6"/>
    <w:rsid w:val="00251E7C"/>
    <w:rsid w:val="00270ACA"/>
    <w:rsid w:val="002801D8"/>
    <w:rsid w:val="002837A2"/>
    <w:rsid w:val="0029119D"/>
    <w:rsid w:val="00297A7E"/>
    <w:rsid w:val="002C4145"/>
    <w:rsid w:val="002D2570"/>
    <w:rsid w:val="002D403C"/>
    <w:rsid w:val="002E4820"/>
    <w:rsid w:val="002F735C"/>
    <w:rsid w:val="0033006F"/>
    <w:rsid w:val="003768B0"/>
    <w:rsid w:val="003823EE"/>
    <w:rsid w:val="0038274A"/>
    <w:rsid w:val="00383910"/>
    <w:rsid w:val="003951CB"/>
    <w:rsid w:val="003A326B"/>
    <w:rsid w:val="003B4B2E"/>
    <w:rsid w:val="003B6F60"/>
    <w:rsid w:val="003C3D89"/>
    <w:rsid w:val="003C5A90"/>
    <w:rsid w:val="003D5678"/>
    <w:rsid w:val="003E0563"/>
    <w:rsid w:val="003E1690"/>
    <w:rsid w:val="003E338C"/>
    <w:rsid w:val="003F446F"/>
    <w:rsid w:val="00401237"/>
    <w:rsid w:val="0040281C"/>
    <w:rsid w:val="004108F5"/>
    <w:rsid w:val="004135DA"/>
    <w:rsid w:val="00420063"/>
    <w:rsid w:val="0042363E"/>
    <w:rsid w:val="00424A59"/>
    <w:rsid w:val="0042605C"/>
    <w:rsid w:val="004363CB"/>
    <w:rsid w:val="00455EC5"/>
    <w:rsid w:val="004563B7"/>
    <w:rsid w:val="00463090"/>
    <w:rsid w:val="004709A9"/>
    <w:rsid w:val="004862E5"/>
    <w:rsid w:val="00490A8B"/>
    <w:rsid w:val="00493C04"/>
    <w:rsid w:val="004A66E0"/>
    <w:rsid w:val="004B1C1E"/>
    <w:rsid w:val="004B1D64"/>
    <w:rsid w:val="004B218A"/>
    <w:rsid w:val="004B5C5C"/>
    <w:rsid w:val="004C1921"/>
    <w:rsid w:val="004D1CCD"/>
    <w:rsid w:val="004E3790"/>
    <w:rsid w:val="004F4FAE"/>
    <w:rsid w:val="00501420"/>
    <w:rsid w:val="0050219F"/>
    <w:rsid w:val="005073D1"/>
    <w:rsid w:val="00516B2B"/>
    <w:rsid w:val="0052749D"/>
    <w:rsid w:val="00531C02"/>
    <w:rsid w:val="00541C5A"/>
    <w:rsid w:val="00543014"/>
    <w:rsid w:val="00543E11"/>
    <w:rsid w:val="00550506"/>
    <w:rsid w:val="00550850"/>
    <w:rsid w:val="005546C0"/>
    <w:rsid w:val="00557732"/>
    <w:rsid w:val="005739C9"/>
    <w:rsid w:val="00583D5A"/>
    <w:rsid w:val="00586F0E"/>
    <w:rsid w:val="00587FB9"/>
    <w:rsid w:val="005D47CA"/>
    <w:rsid w:val="005D4C06"/>
    <w:rsid w:val="005E0556"/>
    <w:rsid w:val="005E417F"/>
    <w:rsid w:val="005E530D"/>
    <w:rsid w:val="005F33A1"/>
    <w:rsid w:val="005F44C1"/>
    <w:rsid w:val="00602DDA"/>
    <w:rsid w:val="006065FB"/>
    <w:rsid w:val="0060694A"/>
    <w:rsid w:val="0062095B"/>
    <w:rsid w:val="00622B8C"/>
    <w:rsid w:val="00623FA3"/>
    <w:rsid w:val="00675DA9"/>
    <w:rsid w:val="006863E7"/>
    <w:rsid w:val="00695F1D"/>
    <w:rsid w:val="006A0962"/>
    <w:rsid w:val="006B68D2"/>
    <w:rsid w:val="006C166A"/>
    <w:rsid w:val="006C694D"/>
    <w:rsid w:val="006D64FC"/>
    <w:rsid w:val="006F4EAB"/>
    <w:rsid w:val="006F6173"/>
    <w:rsid w:val="00704307"/>
    <w:rsid w:val="007047C0"/>
    <w:rsid w:val="007061F5"/>
    <w:rsid w:val="007117DF"/>
    <w:rsid w:val="00713F88"/>
    <w:rsid w:val="00735A22"/>
    <w:rsid w:val="00737244"/>
    <w:rsid w:val="00757295"/>
    <w:rsid w:val="00764547"/>
    <w:rsid w:val="00791183"/>
    <w:rsid w:val="007A0113"/>
    <w:rsid w:val="007A13A4"/>
    <w:rsid w:val="007B49DB"/>
    <w:rsid w:val="007B747F"/>
    <w:rsid w:val="007C263C"/>
    <w:rsid w:val="007F5400"/>
    <w:rsid w:val="007F7CC7"/>
    <w:rsid w:val="007F7E3F"/>
    <w:rsid w:val="008028FC"/>
    <w:rsid w:val="00822657"/>
    <w:rsid w:val="008236CB"/>
    <w:rsid w:val="00825867"/>
    <w:rsid w:val="008328BF"/>
    <w:rsid w:val="00841DD5"/>
    <w:rsid w:val="0085203B"/>
    <w:rsid w:val="0085704F"/>
    <w:rsid w:val="00864E3C"/>
    <w:rsid w:val="008827DA"/>
    <w:rsid w:val="00886B4A"/>
    <w:rsid w:val="00897858"/>
    <w:rsid w:val="008A087A"/>
    <w:rsid w:val="008A54FC"/>
    <w:rsid w:val="008B01D8"/>
    <w:rsid w:val="008B1728"/>
    <w:rsid w:val="008B47DA"/>
    <w:rsid w:val="008C6DF4"/>
    <w:rsid w:val="008D5ED9"/>
    <w:rsid w:val="008E1B85"/>
    <w:rsid w:val="008E494C"/>
    <w:rsid w:val="008E4EA1"/>
    <w:rsid w:val="008E5D58"/>
    <w:rsid w:val="008E7800"/>
    <w:rsid w:val="008F40B8"/>
    <w:rsid w:val="009174DE"/>
    <w:rsid w:val="009221B9"/>
    <w:rsid w:val="00922825"/>
    <w:rsid w:val="00940C7F"/>
    <w:rsid w:val="00976454"/>
    <w:rsid w:val="00984A1E"/>
    <w:rsid w:val="009A6481"/>
    <w:rsid w:val="009A7C0D"/>
    <w:rsid w:val="009B72D2"/>
    <w:rsid w:val="009D0016"/>
    <w:rsid w:val="009D65AC"/>
    <w:rsid w:val="009E2576"/>
    <w:rsid w:val="009F11C2"/>
    <w:rsid w:val="00A113CC"/>
    <w:rsid w:val="00A151FC"/>
    <w:rsid w:val="00A17D57"/>
    <w:rsid w:val="00A25157"/>
    <w:rsid w:val="00A3113F"/>
    <w:rsid w:val="00A3465C"/>
    <w:rsid w:val="00A40C15"/>
    <w:rsid w:val="00A42F05"/>
    <w:rsid w:val="00A56592"/>
    <w:rsid w:val="00A57371"/>
    <w:rsid w:val="00A7026B"/>
    <w:rsid w:val="00A90497"/>
    <w:rsid w:val="00A91EEE"/>
    <w:rsid w:val="00A93D6C"/>
    <w:rsid w:val="00A95270"/>
    <w:rsid w:val="00AA224A"/>
    <w:rsid w:val="00AA4382"/>
    <w:rsid w:val="00AA6CA6"/>
    <w:rsid w:val="00AB2439"/>
    <w:rsid w:val="00AC7679"/>
    <w:rsid w:val="00AD1612"/>
    <w:rsid w:val="00AF0062"/>
    <w:rsid w:val="00B04B8A"/>
    <w:rsid w:val="00B0528F"/>
    <w:rsid w:val="00B13DFD"/>
    <w:rsid w:val="00B269A1"/>
    <w:rsid w:val="00B83C88"/>
    <w:rsid w:val="00B86E93"/>
    <w:rsid w:val="00B92F2A"/>
    <w:rsid w:val="00BA0295"/>
    <w:rsid w:val="00BA6249"/>
    <w:rsid w:val="00BC1EA9"/>
    <w:rsid w:val="00BE4503"/>
    <w:rsid w:val="00BE6BDF"/>
    <w:rsid w:val="00BF1593"/>
    <w:rsid w:val="00BF4E7B"/>
    <w:rsid w:val="00C07358"/>
    <w:rsid w:val="00C13ED2"/>
    <w:rsid w:val="00C14AE7"/>
    <w:rsid w:val="00C15807"/>
    <w:rsid w:val="00C204C3"/>
    <w:rsid w:val="00C36676"/>
    <w:rsid w:val="00C44351"/>
    <w:rsid w:val="00C452FD"/>
    <w:rsid w:val="00C62DAC"/>
    <w:rsid w:val="00C64C79"/>
    <w:rsid w:val="00C83FA4"/>
    <w:rsid w:val="00C8716D"/>
    <w:rsid w:val="00C87348"/>
    <w:rsid w:val="00CB3921"/>
    <w:rsid w:val="00CC42F6"/>
    <w:rsid w:val="00CC5621"/>
    <w:rsid w:val="00CC6EC4"/>
    <w:rsid w:val="00CD3C00"/>
    <w:rsid w:val="00CD5683"/>
    <w:rsid w:val="00D154E2"/>
    <w:rsid w:val="00D23E0B"/>
    <w:rsid w:val="00D25F38"/>
    <w:rsid w:val="00D43060"/>
    <w:rsid w:val="00D44587"/>
    <w:rsid w:val="00D549C1"/>
    <w:rsid w:val="00D70CE2"/>
    <w:rsid w:val="00D741A9"/>
    <w:rsid w:val="00D74DCC"/>
    <w:rsid w:val="00D74EA0"/>
    <w:rsid w:val="00D751BB"/>
    <w:rsid w:val="00D804A9"/>
    <w:rsid w:val="00D84944"/>
    <w:rsid w:val="00D91C34"/>
    <w:rsid w:val="00DA45C1"/>
    <w:rsid w:val="00DB4D35"/>
    <w:rsid w:val="00DB5484"/>
    <w:rsid w:val="00DB59C3"/>
    <w:rsid w:val="00DC409D"/>
    <w:rsid w:val="00DC49BD"/>
    <w:rsid w:val="00DD4B08"/>
    <w:rsid w:val="00DE6A8F"/>
    <w:rsid w:val="00DF3FEE"/>
    <w:rsid w:val="00DF5521"/>
    <w:rsid w:val="00E00161"/>
    <w:rsid w:val="00E0472D"/>
    <w:rsid w:val="00E10BED"/>
    <w:rsid w:val="00E15B46"/>
    <w:rsid w:val="00E170CE"/>
    <w:rsid w:val="00E34685"/>
    <w:rsid w:val="00E56368"/>
    <w:rsid w:val="00E61E2C"/>
    <w:rsid w:val="00E67B60"/>
    <w:rsid w:val="00E702FC"/>
    <w:rsid w:val="00E75DF6"/>
    <w:rsid w:val="00E86241"/>
    <w:rsid w:val="00E925F6"/>
    <w:rsid w:val="00E942BC"/>
    <w:rsid w:val="00EA0353"/>
    <w:rsid w:val="00EC52DB"/>
    <w:rsid w:val="00ED79AE"/>
    <w:rsid w:val="00EE3E40"/>
    <w:rsid w:val="00EF6A8D"/>
    <w:rsid w:val="00F00779"/>
    <w:rsid w:val="00F02039"/>
    <w:rsid w:val="00F11FEC"/>
    <w:rsid w:val="00F12A12"/>
    <w:rsid w:val="00F172FA"/>
    <w:rsid w:val="00F2048E"/>
    <w:rsid w:val="00F23586"/>
    <w:rsid w:val="00F33962"/>
    <w:rsid w:val="00F405CA"/>
    <w:rsid w:val="00F4327F"/>
    <w:rsid w:val="00F564FE"/>
    <w:rsid w:val="00F7430D"/>
    <w:rsid w:val="00F75993"/>
    <w:rsid w:val="00F86CE7"/>
    <w:rsid w:val="00FA416C"/>
    <w:rsid w:val="00FB47F6"/>
    <w:rsid w:val="00FB7A36"/>
    <w:rsid w:val="00FC4A67"/>
    <w:rsid w:val="00FE5C19"/>
    <w:rsid w:val="00FF4C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5A44A5D-52FD-4C37-8D63-5F047B3BD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C5D"/>
    <w:pPr>
      <w:spacing w:after="120"/>
    </w:pPr>
    <w:rPr>
      <w:rFonts w:ascii="Lato" w:hAnsi="Lato"/>
      <w:sz w:val="22"/>
      <w:szCs w:val="24"/>
    </w:rPr>
  </w:style>
  <w:style w:type="paragraph" w:styleId="Heading1">
    <w:name w:val="heading 1"/>
    <w:basedOn w:val="Normal"/>
    <w:next w:val="Normal"/>
    <w:qFormat/>
    <w:rsid w:val="004B1D6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D43060"/>
    <w:pPr>
      <w:keepNext/>
      <w:spacing w:before="240"/>
      <w:outlineLvl w:val="1"/>
    </w:pPr>
    <w:rPr>
      <w:rFonts w:ascii="LatoLatin Heavy" w:eastAsiaTheme="majorEastAsia" w:hAnsi="LatoLatin Heavy" w:cstheme="majorBidi"/>
      <w:bCs/>
      <w:iCs/>
      <w:sz w:val="28"/>
      <w:szCs w:val="28"/>
    </w:rPr>
  </w:style>
  <w:style w:type="paragraph" w:styleId="Heading3">
    <w:name w:val="heading 3"/>
    <w:basedOn w:val="Normal"/>
    <w:next w:val="Normal"/>
    <w:link w:val="Heading3Char"/>
    <w:unhideWhenUsed/>
    <w:qFormat/>
    <w:rsid w:val="008B01D8"/>
    <w:pP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link w:val="SectionChar"/>
    <w:rsid w:val="004B1D6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Pr>
      <w:spacing w:val="-3"/>
      <w:sz w:val="26"/>
      <w:szCs w:val="20"/>
      <w:lang w:val="en-GB"/>
    </w:rPr>
  </w:style>
  <w:style w:type="character" w:customStyle="1" w:styleId="SectionChar">
    <w:name w:val="Section Char"/>
    <w:link w:val="Section"/>
    <w:rsid w:val="004B1D64"/>
    <w:rPr>
      <w:spacing w:val="-3"/>
      <w:sz w:val="26"/>
      <w:lang w:val="en-GB" w:eastAsia="en-AU" w:bidi="ar-SA"/>
    </w:rPr>
  </w:style>
  <w:style w:type="paragraph" w:customStyle="1" w:styleId="NewSectionHeading">
    <w:name w:val="New Section Heading"/>
    <w:basedOn w:val="Heading1"/>
    <w:next w:val="Normal"/>
    <w:rsid w:val="004B1D64"/>
    <w:pPr>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240"/>
      <w:ind w:left="720" w:hanging="720"/>
      <w:jc w:val="both"/>
      <w:outlineLvl w:val="9"/>
    </w:pPr>
    <w:rPr>
      <w:rFonts w:ascii="Times New Roman" w:hAnsi="Times New Roman" w:cs="Times New Roman"/>
      <w:bCs w:val="0"/>
      <w:spacing w:val="-3"/>
      <w:kern w:val="28"/>
      <w:sz w:val="26"/>
      <w:szCs w:val="20"/>
      <w:lang w:val="en-GB"/>
    </w:rPr>
  </w:style>
  <w:style w:type="paragraph" w:styleId="Header">
    <w:name w:val="header"/>
    <w:basedOn w:val="Normal"/>
    <w:rsid w:val="00A91EEE"/>
    <w:pPr>
      <w:tabs>
        <w:tab w:val="center" w:pos="4153"/>
        <w:tab w:val="right" w:pos="8306"/>
      </w:tabs>
    </w:pPr>
  </w:style>
  <w:style w:type="paragraph" w:styleId="Footer">
    <w:name w:val="footer"/>
    <w:basedOn w:val="Normal"/>
    <w:link w:val="FooterChar"/>
    <w:uiPriority w:val="99"/>
    <w:rsid w:val="00A91EEE"/>
    <w:pPr>
      <w:tabs>
        <w:tab w:val="center" w:pos="4153"/>
        <w:tab w:val="right" w:pos="8306"/>
      </w:tabs>
    </w:pPr>
  </w:style>
  <w:style w:type="paragraph" w:customStyle="1" w:styleId="Default">
    <w:name w:val="Default"/>
    <w:rsid w:val="005E0556"/>
    <w:pPr>
      <w:autoSpaceDE w:val="0"/>
      <w:autoSpaceDN w:val="0"/>
      <w:adjustRightInd w:val="0"/>
    </w:pPr>
    <w:rPr>
      <w:rFonts w:ascii="Arial" w:hAnsi="Arial" w:cs="Arial"/>
      <w:color w:val="000000"/>
      <w:sz w:val="24"/>
      <w:szCs w:val="24"/>
    </w:rPr>
  </w:style>
  <w:style w:type="character" w:styleId="Hyperlink">
    <w:name w:val="Hyperlink"/>
    <w:rsid w:val="005E0556"/>
    <w:rPr>
      <w:color w:val="0000FF"/>
      <w:u w:val="single"/>
    </w:rPr>
  </w:style>
  <w:style w:type="character" w:customStyle="1" w:styleId="FooterChar">
    <w:name w:val="Footer Char"/>
    <w:link w:val="Footer"/>
    <w:uiPriority w:val="99"/>
    <w:rsid w:val="00251E7C"/>
    <w:rPr>
      <w:sz w:val="24"/>
      <w:szCs w:val="24"/>
    </w:rPr>
  </w:style>
  <w:style w:type="paragraph" w:styleId="ListParagraph">
    <w:name w:val="List Paragraph"/>
    <w:basedOn w:val="Normal"/>
    <w:uiPriority w:val="34"/>
    <w:qFormat/>
    <w:rsid w:val="00FF4C70"/>
    <w:pPr>
      <w:spacing w:after="40"/>
      <w:ind w:left="720"/>
    </w:pPr>
  </w:style>
  <w:style w:type="character" w:styleId="CommentReference">
    <w:name w:val="annotation reference"/>
    <w:rsid w:val="0062095B"/>
    <w:rPr>
      <w:sz w:val="16"/>
      <w:szCs w:val="16"/>
    </w:rPr>
  </w:style>
  <w:style w:type="paragraph" w:styleId="CommentText">
    <w:name w:val="annotation text"/>
    <w:basedOn w:val="Normal"/>
    <w:link w:val="CommentTextChar"/>
    <w:rsid w:val="0062095B"/>
    <w:rPr>
      <w:sz w:val="20"/>
      <w:szCs w:val="20"/>
    </w:rPr>
  </w:style>
  <w:style w:type="character" w:customStyle="1" w:styleId="CommentTextChar">
    <w:name w:val="Comment Text Char"/>
    <w:basedOn w:val="DefaultParagraphFont"/>
    <w:link w:val="CommentText"/>
    <w:rsid w:val="0062095B"/>
  </w:style>
  <w:style w:type="paragraph" w:styleId="CommentSubject">
    <w:name w:val="annotation subject"/>
    <w:basedOn w:val="CommentText"/>
    <w:next w:val="CommentText"/>
    <w:link w:val="CommentSubjectChar"/>
    <w:rsid w:val="0062095B"/>
    <w:rPr>
      <w:b/>
      <w:bCs/>
    </w:rPr>
  </w:style>
  <w:style w:type="character" w:customStyle="1" w:styleId="CommentSubjectChar">
    <w:name w:val="Comment Subject Char"/>
    <w:link w:val="CommentSubject"/>
    <w:rsid w:val="0062095B"/>
    <w:rPr>
      <w:b/>
      <w:bCs/>
    </w:rPr>
  </w:style>
  <w:style w:type="paragraph" w:styleId="BalloonText">
    <w:name w:val="Balloon Text"/>
    <w:basedOn w:val="Normal"/>
    <w:link w:val="BalloonTextChar"/>
    <w:rsid w:val="0062095B"/>
    <w:rPr>
      <w:rFonts w:ascii="Segoe UI" w:hAnsi="Segoe UI" w:cs="Segoe UI"/>
      <w:sz w:val="18"/>
      <w:szCs w:val="18"/>
    </w:rPr>
  </w:style>
  <w:style w:type="character" w:customStyle="1" w:styleId="BalloonTextChar">
    <w:name w:val="Balloon Text Char"/>
    <w:link w:val="BalloonText"/>
    <w:rsid w:val="0062095B"/>
    <w:rPr>
      <w:rFonts w:ascii="Segoe UI" w:hAnsi="Segoe UI" w:cs="Segoe UI"/>
      <w:sz w:val="18"/>
      <w:szCs w:val="18"/>
    </w:rPr>
  </w:style>
  <w:style w:type="table" w:styleId="TableGrid">
    <w:name w:val="Table Grid"/>
    <w:basedOn w:val="TableNormal"/>
    <w:rsid w:val="005F4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D43060"/>
    <w:pPr>
      <w:spacing w:before="240" w:after="60"/>
      <w:outlineLvl w:val="0"/>
    </w:pPr>
    <w:rPr>
      <w:rFonts w:ascii="Lato Heavy" w:eastAsiaTheme="majorEastAsia" w:hAnsi="Lato Heavy" w:cstheme="majorBidi"/>
      <w:b/>
      <w:bCs/>
      <w:noProof/>
      <w:kern w:val="28"/>
      <w:sz w:val="36"/>
      <w:szCs w:val="32"/>
    </w:rPr>
  </w:style>
  <w:style w:type="character" w:customStyle="1" w:styleId="TitleChar">
    <w:name w:val="Title Char"/>
    <w:basedOn w:val="DefaultParagraphFont"/>
    <w:link w:val="Title"/>
    <w:rsid w:val="00D43060"/>
    <w:rPr>
      <w:rFonts w:ascii="Lato Heavy" w:eastAsiaTheme="majorEastAsia" w:hAnsi="Lato Heavy" w:cstheme="majorBidi"/>
      <w:b/>
      <w:bCs/>
      <w:noProof/>
      <w:kern w:val="28"/>
      <w:sz w:val="36"/>
      <w:szCs w:val="32"/>
    </w:rPr>
  </w:style>
  <w:style w:type="character" w:customStyle="1" w:styleId="Heading2Char">
    <w:name w:val="Heading 2 Char"/>
    <w:basedOn w:val="DefaultParagraphFont"/>
    <w:link w:val="Heading2"/>
    <w:rsid w:val="00D43060"/>
    <w:rPr>
      <w:rFonts w:ascii="LatoLatin Heavy" w:eastAsiaTheme="majorEastAsia" w:hAnsi="LatoLatin Heavy" w:cstheme="majorBidi"/>
      <w:bCs/>
      <w:iCs/>
      <w:sz w:val="28"/>
      <w:szCs w:val="28"/>
    </w:rPr>
  </w:style>
  <w:style w:type="character" w:styleId="Emphasis">
    <w:name w:val="Emphasis"/>
    <w:basedOn w:val="DefaultParagraphFont"/>
    <w:qFormat/>
    <w:rsid w:val="008B01D8"/>
    <w:rPr>
      <w:rFonts w:ascii="Lato" w:hAnsi="Lato"/>
      <w:i/>
      <w:iCs/>
      <w:sz w:val="22"/>
    </w:rPr>
  </w:style>
  <w:style w:type="character" w:customStyle="1" w:styleId="Heading3Char">
    <w:name w:val="Heading 3 Char"/>
    <w:basedOn w:val="DefaultParagraphFont"/>
    <w:link w:val="Heading3"/>
    <w:rsid w:val="008B01D8"/>
    <w:rPr>
      <w:rFonts w:ascii="Lato" w:hAnsi="Lato"/>
      <w:b/>
      <w:sz w:val="24"/>
      <w:szCs w:val="24"/>
    </w:rPr>
  </w:style>
  <w:style w:type="paragraph" w:styleId="FootnoteText">
    <w:name w:val="footnote text"/>
    <w:basedOn w:val="Normal"/>
    <w:link w:val="FootnoteTextChar"/>
    <w:rsid w:val="0038274A"/>
    <w:pPr>
      <w:spacing w:after="0"/>
    </w:pPr>
    <w:rPr>
      <w:sz w:val="20"/>
      <w:szCs w:val="20"/>
    </w:rPr>
  </w:style>
  <w:style w:type="character" w:customStyle="1" w:styleId="FootnoteTextChar">
    <w:name w:val="Footnote Text Char"/>
    <w:basedOn w:val="DefaultParagraphFont"/>
    <w:link w:val="FootnoteText"/>
    <w:rsid w:val="0038274A"/>
    <w:rPr>
      <w:rFonts w:ascii="Lato" w:hAnsi="Lato"/>
    </w:rPr>
  </w:style>
  <w:style w:type="character" w:styleId="FootnoteReference">
    <w:name w:val="footnote reference"/>
    <w:basedOn w:val="DefaultParagraphFont"/>
    <w:rsid w:val="0038274A"/>
    <w:rPr>
      <w:vertAlign w:val="superscript"/>
    </w:rPr>
  </w:style>
  <w:style w:type="character" w:styleId="FollowedHyperlink">
    <w:name w:val="FollowedHyperlink"/>
    <w:basedOn w:val="DefaultParagraphFont"/>
    <w:rsid w:val="000A13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61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tboard.nt.gov.a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va.com.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egislation.nt.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prod.main.ntgov\NTG\DPIR\BAW\Livestock%20Biosecurity\VETERINARY%20BOARD\POLICIES%20AND%20GUIDELINES\www.vetboard.nt.gov.au"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57258-A82A-4BD0-8FEE-94D53971F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Advisory Note to all Northern Territory Registered Veterinarians – Professional and Statutory Obligations on Prescribing Drugs to Non-Veterinarians</vt:lpstr>
    </vt:vector>
  </TitlesOfParts>
  <Company>CSC Australia</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Note to all Northern Territory Registered Veterinarians – Professional and Statutory Obligations on Prescribing Drugs to Non-Veterinarians</dc:title>
  <dc:subject/>
  <dc:creator>Northern Territory Government</dc:creator>
  <cp:keywords/>
  <dc:description/>
  <cp:lastModifiedBy>Vanessa Madrill</cp:lastModifiedBy>
  <cp:revision>12</cp:revision>
  <cp:lastPrinted>2020-08-07T05:57:00Z</cp:lastPrinted>
  <dcterms:created xsi:type="dcterms:W3CDTF">2020-08-06T03:47:00Z</dcterms:created>
  <dcterms:modified xsi:type="dcterms:W3CDTF">2020-08-07T05:58:00Z</dcterms:modified>
</cp:coreProperties>
</file>